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FB" w:rsidRDefault="00B227FB" w:rsidP="00B227FB">
      <w:pPr>
        <w:pStyle w:val="bodytext"/>
        <w:spacing w:before="0" w:beforeAutospacing="0" w:after="0" w:afterAutospacing="0"/>
        <w:jc w:val="right"/>
        <w:rPr>
          <w:rFonts w:asciiTheme="minorHAnsi" w:hAnsiTheme="minorHAnsi" w:cs="Arial"/>
          <w:sz w:val="22"/>
          <w:szCs w:val="22"/>
        </w:rPr>
      </w:pPr>
      <w:bookmarkStart w:id="0" w:name="_GoBack"/>
      <w:bookmarkEnd w:id="0"/>
      <w:r w:rsidRPr="00896F11">
        <w:rPr>
          <w:rFonts w:asciiTheme="minorHAnsi" w:hAnsiTheme="minorHAnsi" w:cs="Arial"/>
          <w:noProof/>
          <w:sz w:val="22"/>
          <w:szCs w:val="22"/>
        </w:rPr>
        <w:drawing>
          <wp:anchor distT="0" distB="0" distL="114300" distR="114300" simplePos="0" relativeHeight="251659264" behindDoc="1" locked="0" layoutInCell="1" allowOverlap="0">
            <wp:simplePos x="0" y="0"/>
            <wp:positionH relativeFrom="column">
              <wp:posOffset>-302775</wp:posOffset>
            </wp:positionH>
            <wp:positionV relativeFrom="paragraph">
              <wp:posOffset>-520233</wp:posOffset>
            </wp:positionV>
            <wp:extent cx="4922987" cy="457200"/>
            <wp:effectExtent l="19050" t="0" r="9525" b="0"/>
            <wp:wrapNone/>
            <wp:docPr id="2" name="Image 2" descr="NOTE DE SYNTHÈS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DE SYNTHÈSE-en-tête"/>
                    <pic:cNvPicPr>
                      <a:picLocks noChangeAspect="1" noChangeArrowheads="1"/>
                    </pic:cNvPicPr>
                  </pic:nvPicPr>
                  <pic:blipFill>
                    <a:blip r:embed="rId6" cstate="print"/>
                    <a:srcRect/>
                    <a:stretch>
                      <a:fillRect/>
                    </a:stretch>
                  </pic:blipFill>
                  <pic:spPr bwMode="auto">
                    <a:xfrm>
                      <a:off x="0" y="0"/>
                      <a:ext cx="4924425" cy="457200"/>
                    </a:xfrm>
                    <a:prstGeom prst="rect">
                      <a:avLst/>
                    </a:prstGeom>
                    <a:noFill/>
                  </pic:spPr>
                </pic:pic>
              </a:graphicData>
            </a:graphic>
          </wp:anchor>
        </w:drawing>
      </w:r>
      <w:r>
        <w:rPr>
          <w:rFonts w:asciiTheme="minorHAnsi" w:hAnsiTheme="minorHAnsi" w:cs="Arial"/>
          <w:sz w:val="22"/>
          <w:szCs w:val="22"/>
        </w:rPr>
        <w:t>26</w:t>
      </w:r>
      <w:r w:rsidRPr="00896F11">
        <w:rPr>
          <w:rFonts w:asciiTheme="minorHAnsi" w:hAnsiTheme="minorHAnsi" w:cs="Arial"/>
          <w:sz w:val="22"/>
          <w:szCs w:val="22"/>
        </w:rPr>
        <w:t xml:space="preserve"> </w:t>
      </w:r>
      <w:r>
        <w:rPr>
          <w:rFonts w:asciiTheme="minorHAnsi" w:hAnsiTheme="minorHAnsi" w:cs="Arial"/>
          <w:sz w:val="22"/>
          <w:szCs w:val="22"/>
        </w:rPr>
        <w:t xml:space="preserve">Janvier </w:t>
      </w:r>
      <w:r w:rsidRPr="00896F11">
        <w:rPr>
          <w:rFonts w:asciiTheme="minorHAnsi" w:hAnsiTheme="minorHAnsi" w:cs="Arial"/>
          <w:sz w:val="22"/>
          <w:szCs w:val="22"/>
        </w:rPr>
        <w:t>2014</w:t>
      </w:r>
    </w:p>
    <w:p w:rsidR="00B227FB" w:rsidRPr="00896F11" w:rsidRDefault="00B227FB" w:rsidP="00B227FB">
      <w:pPr>
        <w:pStyle w:val="bodytext"/>
        <w:spacing w:before="0" w:beforeAutospacing="0" w:after="0" w:afterAutospacing="0"/>
        <w:jc w:val="right"/>
        <w:rPr>
          <w:rFonts w:asciiTheme="minorHAnsi" w:hAnsiTheme="minorHAnsi" w:cs="Arial"/>
          <w:sz w:val="22"/>
          <w:szCs w:val="22"/>
        </w:rPr>
      </w:pPr>
    </w:p>
    <w:p w:rsidR="00B227FB" w:rsidRPr="00896F11" w:rsidRDefault="00B227FB" w:rsidP="00B227FB">
      <w:pPr>
        <w:shd w:val="clear" w:color="auto" w:fill="5F497A"/>
        <w:jc w:val="center"/>
        <w:rPr>
          <w:rFonts w:cs="Arial"/>
          <w:b/>
          <w:caps/>
          <w:color w:val="FFFFFF"/>
        </w:rPr>
      </w:pPr>
    </w:p>
    <w:p w:rsidR="00B227FB" w:rsidRPr="00896F11" w:rsidRDefault="00B227FB" w:rsidP="00B227FB">
      <w:pPr>
        <w:shd w:val="clear" w:color="auto" w:fill="5F497A"/>
        <w:jc w:val="center"/>
        <w:rPr>
          <w:rFonts w:cs="Arial"/>
          <w:b/>
          <w:caps/>
          <w:color w:val="FFFFFF"/>
        </w:rPr>
      </w:pPr>
      <w:r w:rsidRPr="00896F11">
        <w:rPr>
          <w:rFonts w:cs="Arial"/>
          <w:b/>
          <w:caps/>
          <w:color w:val="FFFFFF"/>
        </w:rPr>
        <w:t xml:space="preserve">PROjet de loi </w:t>
      </w:r>
    </w:p>
    <w:p w:rsidR="00B227FB" w:rsidRDefault="00B227FB" w:rsidP="00B227FB">
      <w:pPr>
        <w:shd w:val="clear" w:color="auto" w:fill="5F497A"/>
        <w:jc w:val="center"/>
        <w:rPr>
          <w:rFonts w:cs="Arial"/>
          <w:b/>
          <w:caps/>
          <w:color w:val="FFFFFF"/>
        </w:rPr>
      </w:pPr>
      <w:r w:rsidRPr="00896F11">
        <w:rPr>
          <w:rFonts w:cs="Arial"/>
          <w:b/>
          <w:caps/>
          <w:color w:val="FFFFFF"/>
        </w:rPr>
        <w:t>relatif à la nouvelle organisation territoriale de la republique</w:t>
      </w:r>
    </w:p>
    <w:p w:rsidR="00B227FB" w:rsidRDefault="00B227FB" w:rsidP="00B227FB">
      <w:pPr>
        <w:shd w:val="clear" w:color="auto" w:fill="5F497A"/>
        <w:jc w:val="center"/>
        <w:rPr>
          <w:rFonts w:cs="Arial"/>
          <w:b/>
          <w:caps/>
          <w:color w:val="FFFFFF"/>
        </w:rPr>
      </w:pPr>
      <w:r>
        <w:rPr>
          <w:rFonts w:cs="Arial"/>
          <w:b/>
          <w:caps/>
          <w:color w:val="FFFFFF"/>
        </w:rPr>
        <w:t>AMENDEMENTS rDSE ADOPTES</w:t>
      </w:r>
    </w:p>
    <w:p w:rsidR="00B227FB" w:rsidRDefault="00B227FB" w:rsidP="00B227FB">
      <w:pPr>
        <w:shd w:val="clear" w:color="auto" w:fill="5F497A"/>
        <w:jc w:val="center"/>
        <w:rPr>
          <w:rFonts w:cs="Arial"/>
          <w:b/>
          <w:caps/>
          <w:color w:val="FFFFFF"/>
        </w:rPr>
      </w:pPr>
    </w:p>
    <w:p w:rsidR="00C2164D" w:rsidRPr="00C2164D" w:rsidRDefault="00C2164D" w:rsidP="00C2164D">
      <w:pPr>
        <w:pStyle w:val="dmodeles-petite-loiconfectiontexteloitexte"/>
        <w:spacing w:before="0" w:beforeAutospacing="0" w:after="0" w:afterAutospacing="0"/>
        <w:jc w:val="both"/>
        <w:rPr>
          <w:rFonts w:asciiTheme="minorHAnsi" w:hAnsiTheme="minorHAnsi" w:cs="Arial"/>
          <w:sz w:val="22"/>
          <w:szCs w:val="22"/>
        </w:rPr>
      </w:pPr>
    </w:p>
    <w:p w:rsidR="00C2164D" w:rsidRDefault="00C2164D" w:rsidP="00C2164D">
      <w:pPr>
        <w:pStyle w:val="dmodeles-petite-loiconfectiontexteloitexte"/>
        <w:spacing w:before="0" w:beforeAutospacing="0" w:after="0" w:afterAutospacing="0"/>
        <w:jc w:val="both"/>
        <w:rPr>
          <w:rFonts w:asciiTheme="minorHAnsi" w:hAnsiTheme="minorHAnsi" w:cs="Arial"/>
          <w:sz w:val="22"/>
          <w:szCs w:val="22"/>
        </w:rPr>
      </w:pPr>
    </w:p>
    <w:p w:rsidR="00C2164D" w:rsidRPr="00C2164D" w:rsidRDefault="00C2164D" w:rsidP="00C2164D">
      <w:pPr>
        <w:pStyle w:val="dmodeles-petite-loiconfectiontexteloitexte"/>
        <w:numPr>
          <w:ilvl w:val="0"/>
          <w:numId w:val="9"/>
        </w:numPr>
        <w:spacing w:before="0" w:beforeAutospacing="0" w:after="0" w:afterAutospacing="0"/>
        <w:jc w:val="both"/>
        <w:rPr>
          <w:rFonts w:asciiTheme="minorHAnsi" w:hAnsiTheme="minorHAnsi" w:cs="Arial"/>
          <w:b/>
          <w:sz w:val="22"/>
          <w:szCs w:val="22"/>
          <w:u w:val="single"/>
        </w:rPr>
      </w:pPr>
      <w:r w:rsidRPr="00C2164D">
        <w:rPr>
          <w:rFonts w:asciiTheme="minorHAnsi" w:hAnsiTheme="minorHAnsi" w:cs="Arial"/>
          <w:b/>
          <w:sz w:val="22"/>
          <w:szCs w:val="22"/>
          <w:u w:val="single"/>
        </w:rPr>
        <w:t>Article 1</w:t>
      </w:r>
      <w:r w:rsidRPr="00C2164D">
        <w:rPr>
          <w:rFonts w:asciiTheme="minorHAnsi" w:hAnsiTheme="minorHAnsi" w:cs="Arial"/>
          <w:b/>
          <w:sz w:val="22"/>
          <w:szCs w:val="22"/>
          <w:u w:val="single"/>
          <w:vertAlign w:val="superscript"/>
        </w:rPr>
        <w:t xml:space="preserve">er </w:t>
      </w:r>
      <w:r w:rsidRPr="00C2164D">
        <w:rPr>
          <w:rFonts w:asciiTheme="minorHAnsi" w:hAnsiTheme="minorHAnsi" w:cs="Arial"/>
          <w:b/>
          <w:sz w:val="22"/>
          <w:szCs w:val="22"/>
          <w:u w:val="single"/>
        </w:rPr>
        <w:t>– Sur la suppression de la clause générale de compétence des régions</w:t>
      </w:r>
    </w:p>
    <w:p w:rsidR="00C2164D" w:rsidRPr="00C2164D" w:rsidRDefault="00C2164D" w:rsidP="00C2164D">
      <w:pPr>
        <w:pStyle w:val="dmodeles-petite-loiconfectiontexteloitexte"/>
        <w:spacing w:before="0" w:beforeAutospacing="0" w:after="0" w:afterAutospacing="0"/>
        <w:jc w:val="both"/>
        <w:rPr>
          <w:rFonts w:asciiTheme="minorHAnsi" w:hAnsiTheme="minorHAnsi" w:cs="Arial"/>
          <w:sz w:val="22"/>
          <w:szCs w:val="22"/>
        </w:rPr>
      </w:pPr>
    </w:p>
    <w:p w:rsidR="00C2164D" w:rsidRPr="00C2164D" w:rsidRDefault="00C2164D" w:rsidP="00C2164D">
      <w:pPr>
        <w:pStyle w:val="dmodeles-petite-loiconfectiontexteloitexte"/>
        <w:spacing w:before="0" w:beforeAutospacing="0" w:after="0" w:afterAutospacing="0"/>
        <w:jc w:val="both"/>
        <w:rPr>
          <w:rFonts w:asciiTheme="minorHAnsi" w:hAnsiTheme="minorHAnsi" w:cs="Arial"/>
          <w:sz w:val="22"/>
          <w:szCs w:val="22"/>
        </w:rPr>
      </w:pPr>
      <w:r>
        <w:rPr>
          <w:rFonts w:asciiTheme="minorHAnsi" w:hAnsiTheme="minorHAnsi" w:cs="Arial"/>
          <w:sz w:val="22"/>
          <w:szCs w:val="22"/>
        </w:rPr>
        <w:sym w:font="Wingdings" w:char="F071"/>
      </w:r>
      <w:r>
        <w:rPr>
          <w:rFonts w:asciiTheme="minorHAnsi" w:hAnsiTheme="minorHAnsi" w:cs="Arial"/>
          <w:sz w:val="22"/>
          <w:szCs w:val="22"/>
        </w:rPr>
        <w:t xml:space="preserve"> </w:t>
      </w:r>
      <w:r w:rsidRPr="00C2164D">
        <w:rPr>
          <w:rFonts w:asciiTheme="minorHAnsi" w:hAnsiTheme="minorHAnsi" w:cs="Arial"/>
          <w:sz w:val="22"/>
          <w:szCs w:val="22"/>
        </w:rPr>
        <w:t>A l’article 1</w:t>
      </w:r>
      <w:r w:rsidRPr="00C2164D">
        <w:rPr>
          <w:rFonts w:asciiTheme="minorHAnsi" w:hAnsiTheme="minorHAnsi" w:cs="Arial"/>
          <w:sz w:val="22"/>
          <w:szCs w:val="22"/>
          <w:vertAlign w:val="superscript"/>
        </w:rPr>
        <w:t>er</w:t>
      </w:r>
      <w:r w:rsidRPr="00C2164D">
        <w:rPr>
          <w:rFonts w:asciiTheme="minorHAnsi" w:hAnsiTheme="minorHAnsi" w:cs="Arial"/>
          <w:sz w:val="22"/>
          <w:szCs w:val="22"/>
        </w:rPr>
        <w:t xml:space="preserve">, a été adopté un </w:t>
      </w:r>
      <w:r w:rsidRPr="00C2164D">
        <w:rPr>
          <w:rFonts w:asciiTheme="minorHAnsi" w:hAnsiTheme="minorHAnsi"/>
          <w:sz w:val="22"/>
          <w:szCs w:val="22"/>
        </w:rPr>
        <w:t xml:space="preserve">amendement RDSE </w:t>
      </w:r>
      <w:r w:rsidRPr="00194C64">
        <w:rPr>
          <w:rFonts w:asciiTheme="minorHAnsi" w:hAnsiTheme="minorHAnsi"/>
          <w:b/>
          <w:sz w:val="22"/>
          <w:szCs w:val="22"/>
        </w:rPr>
        <w:t>supprimant la réaffirmation de la compétence réglementaire des régions</w:t>
      </w:r>
      <w:r w:rsidRPr="00C2164D">
        <w:rPr>
          <w:rFonts w:asciiTheme="minorHAnsi" w:hAnsiTheme="minorHAnsi"/>
          <w:sz w:val="22"/>
          <w:szCs w:val="22"/>
        </w:rPr>
        <w:t>.</w:t>
      </w:r>
    </w:p>
    <w:p w:rsidR="00C2164D" w:rsidRDefault="00C2164D" w:rsidP="00C2164D">
      <w:pPr>
        <w:pStyle w:val="dmodeles-petite-loiconfectiontexteloitexte"/>
        <w:spacing w:before="0" w:beforeAutospacing="0" w:after="0" w:afterAutospacing="0"/>
        <w:jc w:val="both"/>
        <w:rPr>
          <w:rFonts w:asciiTheme="minorHAnsi" w:hAnsiTheme="minorHAnsi" w:cs="Arial"/>
          <w:sz w:val="22"/>
          <w:szCs w:val="22"/>
        </w:rPr>
      </w:pPr>
    </w:p>
    <w:p w:rsidR="009B5395" w:rsidRDefault="009B5395" w:rsidP="00C2164D">
      <w:pPr>
        <w:pStyle w:val="dmodeles-petite-loiconfectiontexteloitexte"/>
        <w:spacing w:before="0" w:beforeAutospacing="0" w:after="0" w:afterAutospacing="0"/>
        <w:jc w:val="both"/>
        <w:rPr>
          <w:rFonts w:asciiTheme="minorHAnsi" w:hAnsiTheme="minorHAnsi" w:cs="Arial"/>
          <w:sz w:val="22"/>
          <w:szCs w:val="22"/>
        </w:rPr>
      </w:pPr>
    </w:p>
    <w:p w:rsidR="00C2164D" w:rsidRPr="00C2164D" w:rsidRDefault="00C2164D" w:rsidP="00C2164D">
      <w:pPr>
        <w:pStyle w:val="dmodeles-petite-loiconfectiontexteloitexte"/>
        <w:numPr>
          <w:ilvl w:val="0"/>
          <w:numId w:val="9"/>
        </w:numPr>
        <w:spacing w:before="0" w:beforeAutospacing="0" w:after="0" w:afterAutospacing="0"/>
        <w:jc w:val="both"/>
        <w:rPr>
          <w:rFonts w:asciiTheme="minorHAnsi" w:hAnsiTheme="minorHAnsi" w:cs="Arial"/>
          <w:b/>
          <w:sz w:val="22"/>
          <w:szCs w:val="22"/>
          <w:u w:val="single"/>
        </w:rPr>
      </w:pPr>
      <w:r w:rsidRPr="00C2164D">
        <w:rPr>
          <w:rFonts w:asciiTheme="minorHAnsi" w:hAnsiTheme="minorHAnsi" w:cs="Arial"/>
          <w:b/>
          <w:sz w:val="22"/>
          <w:szCs w:val="22"/>
          <w:u w:val="single"/>
        </w:rPr>
        <w:t>Article 2 - SRDEII</w:t>
      </w:r>
    </w:p>
    <w:p w:rsidR="00C2164D" w:rsidRPr="00C2164D" w:rsidRDefault="00C2164D" w:rsidP="00C2164D">
      <w:pPr>
        <w:pStyle w:val="dmodeles-petite-loiconfectiontexteloitexte"/>
        <w:spacing w:before="0" w:beforeAutospacing="0" w:after="0" w:afterAutospacing="0"/>
        <w:jc w:val="both"/>
        <w:rPr>
          <w:rFonts w:asciiTheme="minorHAnsi" w:hAnsiTheme="minorHAnsi" w:cs="Arial"/>
          <w:sz w:val="22"/>
          <w:szCs w:val="22"/>
        </w:rPr>
      </w:pPr>
    </w:p>
    <w:p w:rsidR="00C2164D" w:rsidRPr="00C2164D" w:rsidRDefault="00C2164D" w:rsidP="00C2164D">
      <w:pPr>
        <w:pStyle w:val="dmodeles-petite-loiconfectiontexteloitexte"/>
        <w:spacing w:before="0" w:beforeAutospacing="0" w:after="0" w:afterAutospacing="0"/>
        <w:jc w:val="both"/>
        <w:rPr>
          <w:rFonts w:asciiTheme="minorHAnsi" w:hAnsiTheme="minorHAnsi" w:cs="Arial"/>
          <w:sz w:val="22"/>
          <w:szCs w:val="22"/>
        </w:rPr>
      </w:pPr>
      <w:r w:rsidRPr="00C2164D">
        <w:rPr>
          <w:rFonts w:asciiTheme="minorHAnsi" w:hAnsiTheme="minorHAnsi" w:cs="Arial"/>
          <w:sz w:val="22"/>
          <w:szCs w:val="22"/>
        </w:rPr>
        <w:sym w:font="Wingdings" w:char="F071"/>
      </w:r>
      <w:r w:rsidRPr="00C2164D">
        <w:rPr>
          <w:rFonts w:asciiTheme="minorHAnsi" w:hAnsiTheme="minorHAnsi" w:cs="Arial"/>
          <w:sz w:val="22"/>
          <w:szCs w:val="22"/>
        </w:rPr>
        <w:t xml:space="preserve"> Par l’adoption d’un amendement RDSE, </w:t>
      </w:r>
      <w:r w:rsidRPr="00C2164D">
        <w:rPr>
          <w:rFonts w:asciiTheme="minorHAnsi" w:hAnsiTheme="minorHAnsi"/>
          <w:sz w:val="22"/>
          <w:szCs w:val="22"/>
        </w:rPr>
        <w:t xml:space="preserve">il a été précisé que le premier SRDEII est </w:t>
      </w:r>
      <w:r w:rsidRPr="00C2164D">
        <w:rPr>
          <w:rFonts w:asciiTheme="minorHAnsi" w:hAnsiTheme="minorHAnsi"/>
          <w:b/>
          <w:sz w:val="22"/>
          <w:szCs w:val="22"/>
        </w:rPr>
        <w:t>adopté dans un délai de dix-huit mois à compter du prochain renouvellement général des conseils régionaux</w:t>
      </w:r>
      <w:r w:rsidRPr="00C2164D">
        <w:rPr>
          <w:rFonts w:asciiTheme="minorHAnsi" w:hAnsiTheme="minorHAnsi"/>
          <w:sz w:val="22"/>
          <w:szCs w:val="22"/>
        </w:rPr>
        <w:t>.</w:t>
      </w:r>
    </w:p>
    <w:p w:rsidR="00600630" w:rsidRDefault="00600630" w:rsidP="00C2164D">
      <w:pPr>
        <w:rPr>
          <w:rFonts w:asciiTheme="minorHAnsi" w:hAnsiTheme="minorHAnsi"/>
          <w:sz w:val="22"/>
        </w:rPr>
      </w:pPr>
    </w:p>
    <w:p w:rsidR="009B5395" w:rsidRPr="00C2164D" w:rsidRDefault="009B5395" w:rsidP="00C2164D">
      <w:pPr>
        <w:rPr>
          <w:rFonts w:asciiTheme="minorHAnsi" w:hAnsiTheme="minorHAnsi"/>
          <w:sz w:val="22"/>
        </w:rPr>
      </w:pPr>
    </w:p>
    <w:p w:rsidR="00C2164D" w:rsidRPr="00C2164D" w:rsidRDefault="00194C64" w:rsidP="00C2164D">
      <w:pPr>
        <w:pStyle w:val="Paragraphedeliste"/>
        <w:numPr>
          <w:ilvl w:val="0"/>
          <w:numId w:val="9"/>
        </w:numPr>
        <w:spacing w:after="0"/>
        <w:rPr>
          <w:b/>
          <w:u w:val="single"/>
        </w:rPr>
      </w:pPr>
      <w:r w:rsidRPr="00C2164D">
        <w:rPr>
          <w:b/>
          <w:u w:val="single"/>
        </w:rPr>
        <w:t>S</w:t>
      </w:r>
      <w:r>
        <w:rPr>
          <w:b/>
          <w:u w:val="single"/>
        </w:rPr>
        <w:t>ur le S</w:t>
      </w:r>
      <w:r w:rsidRPr="00C2164D">
        <w:rPr>
          <w:b/>
          <w:u w:val="single"/>
        </w:rPr>
        <w:t xml:space="preserve">RADDT </w:t>
      </w:r>
      <w:r>
        <w:rPr>
          <w:b/>
          <w:u w:val="single"/>
        </w:rPr>
        <w:t>(a</w:t>
      </w:r>
      <w:r w:rsidR="00C2164D" w:rsidRPr="00C2164D">
        <w:rPr>
          <w:b/>
          <w:u w:val="single"/>
        </w:rPr>
        <w:t>rticle 6</w:t>
      </w:r>
      <w:r>
        <w:rPr>
          <w:b/>
          <w:u w:val="single"/>
        </w:rPr>
        <w:t>)</w:t>
      </w:r>
      <w:r w:rsidR="00C2164D" w:rsidRPr="00C2164D">
        <w:rPr>
          <w:b/>
          <w:u w:val="single"/>
        </w:rPr>
        <w:t xml:space="preserve"> </w:t>
      </w:r>
    </w:p>
    <w:p w:rsidR="00C2164D" w:rsidRPr="00C2164D" w:rsidRDefault="00C2164D" w:rsidP="00C2164D">
      <w:pPr>
        <w:rPr>
          <w:rFonts w:asciiTheme="minorHAnsi" w:hAnsiTheme="minorHAnsi" w:cs="Arial"/>
          <w:sz w:val="22"/>
        </w:rPr>
      </w:pPr>
      <w:r>
        <w:rPr>
          <w:rFonts w:asciiTheme="minorHAnsi" w:hAnsiTheme="minorHAnsi" w:cs="Arial"/>
          <w:sz w:val="22"/>
        </w:rPr>
        <w:sym w:font="Wingdings" w:char="F071"/>
      </w:r>
      <w:r>
        <w:rPr>
          <w:rFonts w:asciiTheme="minorHAnsi" w:hAnsiTheme="minorHAnsi" w:cs="Arial"/>
          <w:sz w:val="22"/>
        </w:rPr>
        <w:t xml:space="preserve"> L</w:t>
      </w:r>
      <w:r w:rsidRPr="00C2164D">
        <w:rPr>
          <w:rFonts w:asciiTheme="minorHAnsi" w:hAnsiTheme="minorHAnsi" w:cs="Arial"/>
          <w:sz w:val="22"/>
        </w:rPr>
        <w:t xml:space="preserve">es objectifs de ce schéma sont de fixer les orientations stratégiques et les objectifs sur le territoire de la région en matière d’équilibre et d’égalité des territoires, de logement, d’intermodalité </w:t>
      </w:r>
      <w:r w:rsidRPr="00C2164D">
        <w:rPr>
          <w:rFonts w:asciiTheme="minorHAnsi" w:hAnsiTheme="minorHAnsi" w:cs="Arial"/>
          <w:b/>
          <w:sz w:val="22"/>
        </w:rPr>
        <w:t>et de développement des transports (amendement du RDSE)</w:t>
      </w:r>
      <w:r w:rsidRPr="00C2164D">
        <w:rPr>
          <w:rFonts w:asciiTheme="minorHAnsi" w:hAnsiTheme="minorHAnsi" w:cs="Arial"/>
          <w:sz w:val="22"/>
        </w:rPr>
        <w:t>, de maîtrise et de valorisation de l’énergie, de lutte contre le changement climatique, de pollution de l’air, de prévention et de gestion des déchets.</w:t>
      </w:r>
    </w:p>
    <w:p w:rsidR="00C2164D" w:rsidRPr="00C2164D" w:rsidRDefault="00C2164D" w:rsidP="00C2164D">
      <w:pPr>
        <w:rPr>
          <w:rFonts w:asciiTheme="minorHAnsi" w:hAnsiTheme="minorHAnsi" w:cs="Arial"/>
          <w:sz w:val="22"/>
        </w:rPr>
      </w:pPr>
    </w:p>
    <w:p w:rsidR="00C2164D" w:rsidRPr="00C2164D" w:rsidRDefault="00C2164D" w:rsidP="00C2164D">
      <w:pPr>
        <w:rPr>
          <w:rFonts w:asciiTheme="minorHAnsi" w:hAnsiTheme="minorHAnsi"/>
          <w:sz w:val="22"/>
        </w:rPr>
      </w:pPr>
      <w:r w:rsidRPr="00C2164D">
        <w:rPr>
          <w:rFonts w:asciiTheme="minorHAnsi" w:eastAsia="Times New Roman" w:hAnsiTheme="minorHAnsi" w:cs="Arial"/>
          <w:b/>
          <w:sz w:val="22"/>
          <w:u w:val="single"/>
        </w:rPr>
        <w:sym w:font="Wingdings" w:char="F071"/>
      </w:r>
      <w:r w:rsidRPr="00C2164D">
        <w:rPr>
          <w:rFonts w:asciiTheme="minorHAnsi" w:eastAsia="Times New Roman" w:hAnsiTheme="minorHAnsi" w:cs="Arial"/>
          <w:b/>
          <w:sz w:val="22"/>
          <w:u w:val="single"/>
        </w:rPr>
        <w:t xml:space="preserve"> A l’initiative du Groupe RDSE</w:t>
      </w:r>
      <w:r w:rsidRPr="00C2164D">
        <w:rPr>
          <w:rFonts w:asciiTheme="minorHAnsi" w:hAnsiTheme="minorHAnsi"/>
          <w:sz w:val="22"/>
        </w:rPr>
        <w:t xml:space="preserve">, le premier SRADDT devra être </w:t>
      </w:r>
      <w:r w:rsidRPr="00C2164D">
        <w:rPr>
          <w:rFonts w:asciiTheme="minorHAnsi" w:hAnsiTheme="minorHAnsi"/>
          <w:b/>
          <w:sz w:val="22"/>
          <w:u w:val="single"/>
        </w:rPr>
        <w:t>adopté dans un délai de dix-huit mois à compter du prochain renouvellement général des conseils régionaux</w:t>
      </w:r>
      <w:r w:rsidRPr="00C2164D">
        <w:rPr>
          <w:rFonts w:asciiTheme="minorHAnsi" w:hAnsiTheme="minorHAnsi"/>
          <w:sz w:val="22"/>
        </w:rPr>
        <w:t>.</w:t>
      </w:r>
    </w:p>
    <w:p w:rsidR="00C2164D" w:rsidRDefault="00C2164D" w:rsidP="00C2164D">
      <w:pPr>
        <w:rPr>
          <w:rFonts w:asciiTheme="minorHAnsi" w:hAnsiTheme="minorHAnsi"/>
          <w:sz w:val="22"/>
        </w:rPr>
      </w:pPr>
    </w:p>
    <w:p w:rsidR="009B5395" w:rsidRPr="00C2164D" w:rsidRDefault="009B5395" w:rsidP="00C2164D">
      <w:pPr>
        <w:rPr>
          <w:rFonts w:asciiTheme="minorHAnsi" w:hAnsiTheme="minorHAnsi"/>
          <w:sz w:val="22"/>
        </w:rPr>
      </w:pPr>
    </w:p>
    <w:p w:rsidR="00C2164D" w:rsidRPr="00C2164D" w:rsidRDefault="00C2164D" w:rsidP="00C2164D">
      <w:pPr>
        <w:pStyle w:val="Paragraphedeliste"/>
        <w:numPr>
          <w:ilvl w:val="0"/>
          <w:numId w:val="9"/>
        </w:numPr>
        <w:spacing w:after="0"/>
        <w:rPr>
          <w:rFonts w:cs="Arial"/>
          <w:b/>
          <w:u w:val="single"/>
        </w:rPr>
      </w:pPr>
      <w:r w:rsidRPr="00C2164D">
        <w:rPr>
          <w:rFonts w:cs="Arial"/>
          <w:b/>
          <w:u w:val="single"/>
        </w:rPr>
        <w:t>Sur la suppression des schémas de développement commercial (art. 7 bis)</w:t>
      </w:r>
    </w:p>
    <w:p w:rsidR="00C2164D" w:rsidRPr="00C2164D" w:rsidRDefault="00C2164D" w:rsidP="00C2164D">
      <w:pPr>
        <w:pStyle w:val="NormalWeb"/>
        <w:spacing w:before="0" w:beforeAutospacing="0" w:after="0" w:afterAutospacing="0"/>
        <w:jc w:val="both"/>
        <w:rPr>
          <w:rFonts w:asciiTheme="minorHAnsi" w:eastAsia="Calibri" w:hAnsiTheme="minorHAnsi" w:cstheme="minorBidi"/>
          <w:b/>
          <w:sz w:val="22"/>
          <w:szCs w:val="22"/>
        </w:rPr>
      </w:pPr>
      <w:r w:rsidRPr="00C2164D">
        <w:rPr>
          <w:rFonts w:asciiTheme="minorHAnsi" w:eastAsia="Calibri" w:hAnsiTheme="minorHAnsi" w:cstheme="minorBidi"/>
          <w:b/>
          <w:sz w:val="22"/>
          <w:szCs w:val="22"/>
        </w:rPr>
        <w:sym w:font="Wingdings" w:char="F071"/>
      </w:r>
      <w:r w:rsidRPr="00C2164D">
        <w:rPr>
          <w:rFonts w:asciiTheme="minorHAnsi" w:eastAsia="Calibri" w:hAnsiTheme="minorHAnsi" w:cstheme="minorBidi"/>
          <w:b/>
          <w:sz w:val="22"/>
          <w:szCs w:val="22"/>
        </w:rPr>
        <w:t xml:space="preserve"> A l’initiative du RDSE, un article additionnel </w:t>
      </w:r>
      <w:r w:rsidRPr="00C2164D">
        <w:rPr>
          <w:rFonts w:asciiTheme="minorHAnsi" w:eastAsia="Calibri" w:hAnsiTheme="minorHAnsi" w:cstheme="minorBidi"/>
          <w:b/>
          <w:sz w:val="22"/>
          <w:szCs w:val="22"/>
          <w:u w:val="single"/>
        </w:rPr>
        <w:t>7 bis</w:t>
      </w:r>
      <w:r w:rsidRPr="00C2164D">
        <w:rPr>
          <w:rFonts w:asciiTheme="minorHAnsi" w:eastAsia="Calibri" w:hAnsiTheme="minorHAnsi" w:cstheme="minorBidi"/>
          <w:b/>
          <w:sz w:val="22"/>
          <w:szCs w:val="22"/>
        </w:rPr>
        <w:t xml:space="preserve"> a été adopté, procédant à la suppression à la fois des observatoires départementaux d'équipement commercial et des schémas de développement commercial.</w:t>
      </w:r>
    </w:p>
    <w:p w:rsidR="00C2164D" w:rsidRPr="00C2164D" w:rsidRDefault="00C2164D" w:rsidP="00C2164D">
      <w:pPr>
        <w:rPr>
          <w:rFonts w:asciiTheme="minorHAnsi" w:eastAsia="Times New Roman" w:hAnsiTheme="minorHAnsi" w:cs="Arial"/>
          <w:sz w:val="22"/>
        </w:rPr>
      </w:pPr>
    </w:p>
    <w:p w:rsidR="00C2164D" w:rsidRPr="00C2164D" w:rsidRDefault="00C2164D" w:rsidP="00C2164D">
      <w:pPr>
        <w:rPr>
          <w:rFonts w:asciiTheme="minorHAnsi" w:eastAsia="Times New Roman" w:hAnsiTheme="minorHAnsi" w:cs="Arial"/>
          <w:sz w:val="22"/>
        </w:rPr>
      </w:pPr>
    </w:p>
    <w:p w:rsidR="00C2164D" w:rsidRPr="00C2164D" w:rsidRDefault="00C2164D" w:rsidP="00C2164D">
      <w:pPr>
        <w:pStyle w:val="Paragraphedeliste"/>
        <w:numPr>
          <w:ilvl w:val="0"/>
          <w:numId w:val="9"/>
        </w:numPr>
        <w:spacing w:after="0"/>
        <w:rPr>
          <w:rFonts w:cs="Arial"/>
          <w:b/>
          <w:u w:val="single"/>
        </w:rPr>
      </w:pPr>
      <w:r w:rsidRPr="00C2164D">
        <w:rPr>
          <w:rFonts w:cs="Arial"/>
          <w:b/>
          <w:u w:val="single"/>
        </w:rPr>
        <w:t>Sur le transfert des transports vers la région (article 8)</w:t>
      </w:r>
    </w:p>
    <w:p w:rsidR="00C2164D" w:rsidRPr="00C2164D" w:rsidRDefault="00C2164D" w:rsidP="00C2164D">
      <w:pPr>
        <w:rPr>
          <w:rFonts w:asciiTheme="minorHAnsi" w:eastAsia="Calibri" w:hAnsiTheme="minorHAnsi"/>
          <w:sz w:val="22"/>
          <w:u w:val="single"/>
        </w:rPr>
      </w:pPr>
      <w:r w:rsidRPr="00C2164D">
        <w:rPr>
          <w:rFonts w:asciiTheme="minorHAnsi" w:eastAsia="Calibri" w:hAnsiTheme="minorHAnsi"/>
          <w:sz w:val="22"/>
        </w:rPr>
        <w:sym w:font="Wingdings" w:char="F071"/>
      </w:r>
      <w:r w:rsidRPr="00C2164D">
        <w:rPr>
          <w:rFonts w:asciiTheme="minorHAnsi" w:eastAsia="Calibri" w:hAnsiTheme="minorHAnsi"/>
          <w:sz w:val="22"/>
        </w:rPr>
        <w:t xml:space="preserve"> </w:t>
      </w:r>
      <w:r w:rsidRPr="00C2164D">
        <w:rPr>
          <w:rFonts w:asciiTheme="minorHAnsi" w:eastAsia="Calibri" w:hAnsiTheme="minorHAnsi"/>
          <w:b/>
          <w:sz w:val="22"/>
        </w:rPr>
        <w:t>A compter du 1</w:t>
      </w:r>
      <w:r w:rsidRPr="00C2164D">
        <w:rPr>
          <w:rFonts w:asciiTheme="minorHAnsi" w:eastAsia="Calibri" w:hAnsiTheme="minorHAnsi"/>
          <w:b/>
          <w:sz w:val="22"/>
          <w:vertAlign w:val="superscript"/>
        </w:rPr>
        <w:t>er</w:t>
      </w:r>
      <w:r w:rsidRPr="00C2164D">
        <w:rPr>
          <w:rFonts w:asciiTheme="minorHAnsi" w:eastAsia="Calibri" w:hAnsiTheme="minorHAnsi"/>
          <w:b/>
          <w:sz w:val="22"/>
        </w:rPr>
        <w:t xml:space="preserve"> janvier 2017</w:t>
      </w:r>
      <w:r w:rsidRPr="00C2164D">
        <w:rPr>
          <w:rFonts w:asciiTheme="minorHAnsi" w:eastAsia="Calibri" w:hAnsiTheme="minorHAnsi"/>
          <w:sz w:val="22"/>
        </w:rPr>
        <w:t>, les services non urbains, réguliers, sont organisés par la région,</w:t>
      </w:r>
      <w:r w:rsidRPr="00C2164D">
        <w:rPr>
          <w:rFonts w:asciiTheme="minorHAnsi" w:hAnsiTheme="minorHAnsi"/>
          <w:sz w:val="22"/>
        </w:rPr>
        <w:t xml:space="preserve"> </w:t>
      </w:r>
      <w:r w:rsidRPr="00C2164D">
        <w:rPr>
          <w:rFonts w:asciiTheme="minorHAnsi" w:eastAsia="Calibri" w:hAnsiTheme="minorHAnsi"/>
          <w:sz w:val="22"/>
        </w:rPr>
        <w:t>à l’exclusion :</w:t>
      </w:r>
    </w:p>
    <w:p w:rsidR="00C2164D" w:rsidRPr="00C2164D" w:rsidRDefault="00C2164D" w:rsidP="00C2164D">
      <w:pPr>
        <w:pStyle w:val="Paragraphedeliste"/>
        <w:numPr>
          <w:ilvl w:val="0"/>
          <w:numId w:val="2"/>
        </w:numPr>
        <w:spacing w:after="0" w:line="240" w:lineRule="auto"/>
        <w:ind w:left="714" w:hanging="357"/>
        <w:rPr>
          <w:rFonts w:cs="Arial"/>
        </w:rPr>
      </w:pPr>
      <w:r w:rsidRPr="00C2164D">
        <w:rPr>
          <w:rFonts w:eastAsia="Calibri"/>
        </w:rPr>
        <w:t>des services de transport spécial des élèves handicapés vers les établissements scolaires (amendement du Gouvernement) ;</w:t>
      </w:r>
    </w:p>
    <w:p w:rsidR="00C2164D" w:rsidRPr="00C2164D" w:rsidRDefault="00C2164D" w:rsidP="00C2164D">
      <w:pPr>
        <w:pStyle w:val="Paragraphedeliste"/>
        <w:numPr>
          <w:ilvl w:val="0"/>
          <w:numId w:val="2"/>
        </w:numPr>
        <w:spacing w:after="0" w:line="240" w:lineRule="auto"/>
        <w:ind w:left="714" w:hanging="357"/>
        <w:rPr>
          <w:rFonts w:cs="Arial"/>
        </w:rPr>
      </w:pPr>
      <w:r w:rsidRPr="00C2164D">
        <w:rPr>
          <w:rFonts w:cs="Arial"/>
          <w:b/>
          <w:u w:val="single"/>
        </w:rPr>
        <w:t>des transports non urbains à la demande, dont la compétence reste aux départements (à l’initiative d’un amendement RDSE)</w:t>
      </w:r>
      <w:r w:rsidRPr="00C2164D">
        <w:rPr>
          <w:rFonts w:cs="Arial"/>
        </w:rPr>
        <w:t>.</w:t>
      </w:r>
    </w:p>
    <w:p w:rsidR="009B5395" w:rsidRDefault="009B5395" w:rsidP="00C2164D">
      <w:pPr>
        <w:rPr>
          <w:rFonts w:asciiTheme="minorHAnsi" w:eastAsia="Times New Roman" w:hAnsiTheme="minorHAnsi" w:cs="Arial"/>
          <w:sz w:val="22"/>
        </w:rPr>
      </w:pPr>
    </w:p>
    <w:p w:rsidR="009B5395" w:rsidRPr="00C2164D" w:rsidRDefault="009B5395" w:rsidP="00C2164D">
      <w:pPr>
        <w:rPr>
          <w:rFonts w:asciiTheme="minorHAnsi" w:eastAsia="Times New Roman" w:hAnsiTheme="minorHAnsi" w:cs="Arial"/>
          <w:sz w:val="22"/>
        </w:rPr>
      </w:pPr>
    </w:p>
    <w:p w:rsidR="00B227FB" w:rsidRDefault="00B227FB" w:rsidP="00C2164D">
      <w:pPr>
        <w:pStyle w:val="Paragraphedeliste"/>
        <w:numPr>
          <w:ilvl w:val="0"/>
          <w:numId w:val="9"/>
        </w:numPr>
        <w:spacing w:after="0" w:line="240" w:lineRule="auto"/>
        <w:jc w:val="both"/>
        <w:rPr>
          <w:rFonts w:eastAsia="Times New Roman" w:cs="Times New Roman"/>
          <w:b/>
          <w:u w:val="single"/>
        </w:rPr>
      </w:pPr>
      <w:r>
        <w:rPr>
          <w:rFonts w:eastAsia="Times New Roman" w:cs="Times New Roman"/>
          <w:b/>
          <w:u w:val="single"/>
        </w:rPr>
        <w:lastRenderedPageBreak/>
        <w:t>Sur le renforcement de l’intercommunalité (article 14)</w:t>
      </w:r>
    </w:p>
    <w:p w:rsidR="00B227FB" w:rsidRDefault="00B227FB" w:rsidP="00B227FB">
      <w:pPr>
        <w:rPr>
          <w:rFonts w:eastAsia="Times New Roman" w:cs="Times New Roman"/>
          <w:b/>
          <w:u w:val="single"/>
        </w:rPr>
      </w:pPr>
    </w:p>
    <w:p w:rsidR="00B227FB" w:rsidRPr="00B227FB" w:rsidRDefault="00B227FB" w:rsidP="00B227FB">
      <w:pPr>
        <w:rPr>
          <w:rFonts w:asciiTheme="minorHAnsi" w:hAnsiTheme="minorHAnsi" w:cs="Arial"/>
          <w:sz w:val="22"/>
        </w:rPr>
      </w:pPr>
      <w:r>
        <w:rPr>
          <w:rFonts w:asciiTheme="minorHAnsi" w:hAnsiTheme="minorHAnsi" w:cs="Arial"/>
          <w:sz w:val="22"/>
        </w:rPr>
        <w:t>A été adopté un</w:t>
      </w:r>
      <w:r w:rsidRPr="00B227FB">
        <w:rPr>
          <w:rFonts w:asciiTheme="minorHAnsi" w:hAnsiTheme="minorHAnsi" w:cs="Arial"/>
          <w:sz w:val="22"/>
        </w:rPr>
        <w:t xml:space="preserve"> </w:t>
      </w:r>
      <w:r w:rsidRPr="00B227FB">
        <w:rPr>
          <w:rFonts w:asciiTheme="minorHAnsi" w:hAnsiTheme="minorHAnsi" w:cs="Arial"/>
          <w:b/>
          <w:sz w:val="22"/>
        </w:rPr>
        <w:t>amendement de Jean-Claude REQUIER</w:t>
      </w:r>
      <w:r>
        <w:rPr>
          <w:rFonts w:asciiTheme="minorHAnsi" w:hAnsiTheme="minorHAnsi" w:cs="Arial"/>
          <w:sz w:val="22"/>
        </w:rPr>
        <w:t xml:space="preserve"> qui a p</w:t>
      </w:r>
      <w:r w:rsidRPr="00B227FB">
        <w:rPr>
          <w:rFonts w:asciiTheme="minorHAnsi" w:hAnsiTheme="minorHAnsi" w:cs="Arial"/>
          <w:sz w:val="22"/>
        </w:rPr>
        <w:t>our objet de préciser que l’objectif de rationalisation des intercommunalités peut aussi conduire le préfet, lors de l’élaboration du schéma départemental de coopération intercommunale, à ne pas transférer systématiquement à un EPCI à fiscalité propre les compétences exercées par les syndicats intercommunaux ou les syndicats mixtes, mais également à d’autres syndicats en mettant en œuvre les dispositions déjà prévues par le droit en vigueur (élargissement du périmètre de certains syndicats, fusion de plusieurs syndicats entre eux). </w:t>
      </w:r>
    </w:p>
    <w:p w:rsidR="00B227FB" w:rsidRPr="00B227FB" w:rsidRDefault="00B227FB" w:rsidP="00B227FB">
      <w:pPr>
        <w:rPr>
          <w:rFonts w:eastAsia="Times New Roman" w:cs="Times New Roman"/>
          <w:b/>
          <w:u w:val="single"/>
        </w:rPr>
      </w:pPr>
    </w:p>
    <w:p w:rsidR="00C2164D" w:rsidRPr="00C2164D" w:rsidRDefault="00C2164D" w:rsidP="00C2164D">
      <w:pPr>
        <w:pStyle w:val="Paragraphedeliste"/>
        <w:numPr>
          <w:ilvl w:val="0"/>
          <w:numId w:val="9"/>
        </w:numPr>
        <w:spacing w:after="0" w:line="240" w:lineRule="auto"/>
        <w:jc w:val="both"/>
        <w:rPr>
          <w:rFonts w:eastAsia="Times New Roman" w:cs="Times New Roman"/>
          <w:b/>
          <w:u w:val="single"/>
        </w:rPr>
      </w:pPr>
      <w:r w:rsidRPr="00C2164D">
        <w:rPr>
          <w:b/>
          <w:u w:val="single"/>
        </w:rPr>
        <w:t>Sur la gestion des milieux aquatiques et de prévention des inondations </w:t>
      </w:r>
      <w:r w:rsidRPr="00C2164D">
        <w:rPr>
          <w:rFonts w:eastAsia="Times New Roman" w:cs="Times New Roman"/>
          <w:b/>
          <w:u w:val="single"/>
        </w:rPr>
        <w:t xml:space="preserve"> (article additionnel après l’article 22)</w:t>
      </w:r>
    </w:p>
    <w:p w:rsidR="00C2164D" w:rsidRPr="00C2164D" w:rsidRDefault="00C2164D" w:rsidP="00C2164D">
      <w:pPr>
        <w:pStyle w:val="NormalWeb"/>
        <w:jc w:val="both"/>
        <w:rPr>
          <w:rFonts w:asciiTheme="minorHAnsi" w:hAnsiTheme="minorHAnsi"/>
          <w:sz w:val="22"/>
          <w:szCs w:val="22"/>
        </w:rPr>
      </w:pPr>
      <w:r w:rsidRPr="00C2164D">
        <w:rPr>
          <w:rFonts w:asciiTheme="minorHAnsi" w:hAnsiTheme="minorHAnsi"/>
          <w:sz w:val="22"/>
          <w:szCs w:val="22"/>
        </w:rPr>
        <w:t xml:space="preserve">Un </w:t>
      </w:r>
      <w:r w:rsidRPr="00C2164D">
        <w:rPr>
          <w:rFonts w:asciiTheme="minorHAnsi" w:hAnsiTheme="minorHAnsi"/>
          <w:b/>
          <w:sz w:val="22"/>
          <w:szCs w:val="22"/>
        </w:rPr>
        <w:t>amendement du Groupe RDSE</w:t>
      </w:r>
      <w:r w:rsidRPr="00C2164D">
        <w:rPr>
          <w:rFonts w:asciiTheme="minorHAnsi" w:hAnsiTheme="minorHAnsi"/>
          <w:sz w:val="22"/>
          <w:szCs w:val="22"/>
        </w:rPr>
        <w:t xml:space="preserve"> a été adopté, visant à faciliter l’exercice de la compétence de « gestion des milieux aquatiques et de prévention des inondations » créée par la loi n°2014-58 du 27 janvier 2014 de modernisation de l’action publique territoriale et d’affirmation des métropoles. Cette compétence est attribuée au bloc communal à titre obligatoire au 1er janvier 2016 mais peut être exercée par anticipation. Cet article additionnel permet la transformation de syndicats de droit commun, en charge de l’entretien des rivières ou de l’aménagement d’un bassin, en établissement public d'aménagement et de gestion de l'eau ou en établissement public territorial de bassin.</w:t>
      </w:r>
    </w:p>
    <w:p w:rsidR="00C2164D" w:rsidRPr="00C2164D" w:rsidRDefault="00C2164D" w:rsidP="00C2164D">
      <w:pPr>
        <w:pStyle w:val="Paragraphedeliste"/>
        <w:numPr>
          <w:ilvl w:val="0"/>
          <w:numId w:val="9"/>
        </w:numPr>
        <w:spacing w:after="0" w:line="240" w:lineRule="auto"/>
        <w:jc w:val="both"/>
        <w:rPr>
          <w:rFonts w:eastAsia="Times New Roman" w:cs="Times New Roman"/>
          <w:b/>
          <w:u w:val="single"/>
        </w:rPr>
      </w:pPr>
      <w:r w:rsidRPr="00C2164D">
        <w:rPr>
          <w:rFonts w:eastAsia="Times New Roman" w:cs="Times New Roman"/>
          <w:b/>
          <w:u w:val="single"/>
        </w:rPr>
        <w:t>Sur la suppression de la clause de compétence général</w:t>
      </w:r>
      <w:r>
        <w:rPr>
          <w:rFonts w:eastAsia="Times New Roman" w:cs="Times New Roman"/>
          <w:b/>
          <w:u w:val="single"/>
        </w:rPr>
        <w:t>e des départements (article 24</w:t>
      </w:r>
      <w:r w:rsidRPr="00C2164D">
        <w:rPr>
          <w:rFonts w:eastAsia="Times New Roman" w:cs="Times New Roman"/>
          <w:b/>
          <w:u w:val="single"/>
        </w:rPr>
        <w:t>)</w:t>
      </w:r>
    </w:p>
    <w:p w:rsidR="00C2164D" w:rsidRPr="00C2164D" w:rsidRDefault="00C2164D" w:rsidP="00C2164D">
      <w:pPr>
        <w:rPr>
          <w:rFonts w:asciiTheme="minorHAnsi" w:hAnsiTheme="minorHAnsi"/>
          <w:sz w:val="22"/>
        </w:rPr>
      </w:pPr>
    </w:p>
    <w:p w:rsidR="00C2164D" w:rsidRPr="00C2164D" w:rsidRDefault="00C2164D" w:rsidP="00C2164D">
      <w:pPr>
        <w:rPr>
          <w:rFonts w:asciiTheme="minorHAnsi" w:hAnsiTheme="minorHAnsi"/>
          <w:sz w:val="22"/>
        </w:rPr>
      </w:pPr>
      <w:r w:rsidRPr="00C2164D">
        <w:rPr>
          <w:rFonts w:asciiTheme="minorHAnsi" w:hAnsiTheme="minorHAnsi"/>
          <w:sz w:val="22"/>
        </w:rPr>
        <w:sym w:font="Wingdings" w:char="F071"/>
      </w:r>
      <w:r w:rsidRPr="00C2164D">
        <w:rPr>
          <w:rFonts w:asciiTheme="minorHAnsi" w:hAnsiTheme="minorHAnsi"/>
          <w:sz w:val="22"/>
        </w:rPr>
        <w:t xml:space="preserve"> Le Sénat a adopté, avec modifications, l’</w:t>
      </w:r>
      <w:r w:rsidRPr="00C2164D">
        <w:rPr>
          <w:rFonts w:asciiTheme="minorHAnsi" w:hAnsiTheme="minorHAnsi"/>
          <w:sz w:val="22"/>
          <w:u w:val="single"/>
        </w:rPr>
        <w:t>article 24</w:t>
      </w:r>
      <w:r w:rsidRPr="00C2164D">
        <w:rPr>
          <w:rFonts w:asciiTheme="minorHAnsi" w:hAnsiTheme="minorHAnsi"/>
          <w:sz w:val="22"/>
        </w:rPr>
        <w:t xml:space="preserve"> relatif à la </w:t>
      </w:r>
      <w:r w:rsidRPr="00C2164D">
        <w:rPr>
          <w:rStyle w:val="lev"/>
          <w:rFonts w:asciiTheme="minorHAnsi" w:hAnsiTheme="minorHAnsi"/>
          <w:sz w:val="22"/>
        </w:rPr>
        <w:t>suppression de la clause de compétence générale des départements</w:t>
      </w:r>
      <w:r w:rsidRPr="00C2164D">
        <w:rPr>
          <w:rFonts w:asciiTheme="minorHAnsi" w:hAnsiTheme="minorHAnsi"/>
          <w:sz w:val="22"/>
        </w:rPr>
        <w:t xml:space="preserve"> et à la définition de leurs capacités d’intervention. En séance, les sénateurs ont adopté plusieurs amendements dont</w:t>
      </w:r>
    </w:p>
    <w:p w:rsidR="00C2164D" w:rsidRPr="00C2164D" w:rsidRDefault="00C2164D" w:rsidP="00C2164D">
      <w:pPr>
        <w:pStyle w:val="Paragraphedeliste"/>
        <w:numPr>
          <w:ilvl w:val="1"/>
          <w:numId w:val="4"/>
        </w:numPr>
        <w:spacing w:after="0" w:line="240" w:lineRule="auto"/>
        <w:jc w:val="both"/>
        <w:rPr>
          <w:rFonts w:eastAsia="Times New Roman" w:cs="Times New Roman"/>
        </w:rPr>
      </w:pPr>
      <w:r w:rsidRPr="00C2164D">
        <w:t xml:space="preserve">deux amendements identiques qui visent à affirmer le rôle essentiel que doit jouer le département dans la solidarité territoriale </w:t>
      </w:r>
      <w:r w:rsidR="004E3DA3">
        <w:t>(</w:t>
      </w:r>
      <w:r w:rsidR="004E3DA3" w:rsidRPr="004E3DA3">
        <w:rPr>
          <w:b/>
        </w:rPr>
        <w:t>dont un amendement RDSE</w:t>
      </w:r>
      <w:r w:rsidR="004E3DA3">
        <w:t xml:space="preserve">) </w:t>
      </w:r>
      <w:r w:rsidRPr="00C2164D">
        <w:t>;</w:t>
      </w:r>
    </w:p>
    <w:p w:rsidR="00C2164D" w:rsidRPr="00C2164D" w:rsidRDefault="00C2164D" w:rsidP="00C2164D">
      <w:pPr>
        <w:pStyle w:val="Paragraphedeliste"/>
        <w:numPr>
          <w:ilvl w:val="1"/>
          <w:numId w:val="4"/>
        </w:numPr>
        <w:spacing w:after="0" w:line="240" w:lineRule="auto"/>
        <w:jc w:val="both"/>
        <w:rPr>
          <w:rFonts w:eastAsia="Times New Roman" w:cs="Times New Roman"/>
        </w:rPr>
      </w:pPr>
      <w:r w:rsidRPr="00C2164D">
        <w:t>trois amendements identiques (</w:t>
      </w:r>
      <w:r w:rsidRPr="00C2164D">
        <w:rPr>
          <w:b/>
        </w:rPr>
        <w:t>dont un amendement RDSE</w:t>
      </w:r>
      <w:r w:rsidRPr="00C2164D">
        <w:t>) qui ont pour objet d’étendre les le champ de l’assistance technique des départements aux EPCI et communes aux secteurs de la voirie, de l’aménagement et de l’habitat.</w:t>
      </w:r>
    </w:p>
    <w:p w:rsidR="00C2164D" w:rsidRPr="00C2164D" w:rsidRDefault="00C2164D" w:rsidP="00C2164D">
      <w:pPr>
        <w:rPr>
          <w:rFonts w:asciiTheme="minorHAnsi" w:eastAsia="Times New Roman" w:hAnsiTheme="minorHAnsi" w:cs="Arial"/>
          <w:sz w:val="22"/>
        </w:rPr>
      </w:pPr>
    </w:p>
    <w:p w:rsidR="00C2164D" w:rsidRPr="00C2164D" w:rsidRDefault="00C2164D" w:rsidP="00C2164D">
      <w:pPr>
        <w:rPr>
          <w:rFonts w:asciiTheme="minorHAnsi" w:eastAsia="Times New Roman" w:hAnsiTheme="minorHAnsi" w:cs="Arial"/>
          <w:sz w:val="22"/>
        </w:rPr>
      </w:pPr>
    </w:p>
    <w:p w:rsidR="00C2164D" w:rsidRPr="00C2164D" w:rsidRDefault="00C2164D" w:rsidP="00C2164D">
      <w:pPr>
        <w:pStyle w:val="Paragraphedeliste"/>
        <w:numPr>
          <w:ilvl w:val="0"/>
          <w:numId w:val="9"/>
        </w:numPr>
        <w:spacing w:after="0" w:line="240" w:lineRule="auto"/>
        <w:jc w:val="both"/>
        <w:rPr>
          <w:rFonts w:eastAsia="Times New Roman" w:cs="Times New Roman"/>
          <w:b/>
          <w:u w:val="single"/>
        </w:rPr>
      </w:pPr>
      <w:r w:rsidRPr="00C2164D">
        <w:rPr>
          <w:rFonts w:eastAsia="Times New Roman" w:cs="Times New Roman"/>
          <w:b/>
          <w:u w:val="single"/>
        </w:rPr>
        <w:t xml:space="preserve">Sur les schémas </w:t>
      </w:r>
      <w:r w:rsidRPr="00C2164D">
        <w:rPr>
          <w:b/>
          <w:u w:val="single"/>
        </w:rPr>
        <w:t>départementaux d’analyse et de couverture des risques</w:t>
      </w:r>
      <w:r>
        <w:rPr>
          <w:b/>
          <w:u w:val="single"/>
        </w:rPr>
        <w:t xml:space="preserve"> (article </w:t>
      </w:r>
      <w:proofErr w:type="spellStart"/>
      <w:r>
        <w:rPr>
          <w:b/>
          <w:u w:val="single"/>
        </w:rPr>
        <w:t>add</w:t>
      </w:r>
      <w:proofErr w:type="spellEnd"/>
      <w:r>
        <w:rPr>
          <w:b/>
          <w:u w:val="single"/>
        </w:rPr>
        <w:t>. Apr. 24)</w:t>
      </w:r>
    </w:p>
    <w:p w:rsidR="00C2164D" w:rsidRPr="00C2164D" w:rsidRDefault="00C2164D" w:rsidP="00C2164D">
      <w:pPr>
        <w:rPr>
          <w:rFonts w:asciiTheme="minorHAnsi" w:eastAsia="Times New Roman" w:hAnsiTheme="minorHAnsi" w:cs="Times New Roman"/>
          <w:sz w:val="22"/>
        </w:rPr>
      </w:pPr>
    </w:p>
    <w:p w:rsidR="00C2164D" w:rsidRPr="00C2164D" w:rsidRDefault="00C2164D" w:rsidP="00C2164D">
      <w:pPr>
        <w:rPr>
          <w:rFonts w:asciiTheme="minorHAnsi" w:eastAsia="Times New Roman" w:hAnsiTheme="minorHAnsi" w:cs="Times New Roman"/>
          <w:sz w:val="22"/>
        </w:rPr>
      </w:pPr>
      <w:r w:rsidRPr="00C2164D">
        <w:rPr>
          <w:rFonts w:asciiTheme="minorHAnsi" w:hAnsiTheme="minorHAnsi"/>
          <w:b/>
          <w:sz w:val="22"/>
        </w:rPr>
        <w:sym w:font="Wingdings" w:char="F071"/>
      </w:r>
      <w:r w:rsidRPr="00C2164D">
        <w:rPr>
          <w:rFonts w:asciiTheme="minorHAnsi" w:hAnsiTheme="minorHAnsi"/>
          <w:b/>
          <w:sz w:val="22"/>
        </w:rPr>
        <w:t xml:space="preserve"> </w:t>
      </w:r>
      <w:r w:rsidRPr="00C2164D">
        <w:rPr>
          <w:rFonts w:asciiTheme="minorHAnsi" w:hAnsiTheme="minorHAnsi"/>
          <w:b/>
          <w:sz w:val="22"/>
          <w:u w:val="single"/>
        </w:rPr>
        <w:t>A l’initiative du Groupe RDSE</w:t>
      </w:r>
      <w:r w:rsidRPr="00C2164D">
        <w:rPr>
          <w:rFonts w:asciiTheme="minorHAnsi" w:hAnsiTheme="minorHAnsi"/>
          <w:sz w:val="22"/>
        </w:rPr>
        <w:t xml:space="preserve">, a été adopté un amendement visant à préciser que le schéma départemental d’analyse et de couverture des risques est </w:t>
      </w:r>
      <w:r w:rsidRPr="00C2164D">
        <w:rPr>
          <w:rFonts w:asciiTheme="minorHAnsi" w:hAnsiTheme="minorHAnsi"/>
          <w:b/>
          <w:sz w:val="22"/>
        </w:rPr>
        <w:t>révisé tous les cinq ans</w:t>
      </w:r>
      <w:r w:rsidRPr="00C2164D">
        <w:rPr>
          <w:rFonts w:asciiTheme="minorHAnsi" w:hAnsiTheme="minorHAnsi"/>
          <w:sz w:val="22"/>
        </w:rPr>
        <w:t>, après qu’une évaluation ex post des orientations prises dans le schéma existant ait été réalisée.</w:t>
      </w:r>
    </w:p>
    <w:p w:rsidR="00C2164D" w:rsidRPr="00C2164D" w:rsidRDefault="00C2164D" w:rsidP="00C2164D">
      <w:pPr>
        <w:rPr>
          <w:rFonts w:asciiTheme="minorHAnsi" w:eastAsia="Times New Roman" w:hAnsiTheme="minorHAnsi" w:cs="Arial"/>
          <w:sz w:val="22"/>
        </w:rPr>
      </w:pPr>
    </w:p>
    <w:p w:rsidR="00C2164D" w:rsidRPr="00C2164D" w:rsidRDefault="00194C64" w:rsidP="00C2164D">
      <w:pPr>
        <w:pStyle w:val="dmodeles-petite-loiconfectiontexte5chapitrenum"/>
        <w:numPr>
          <w:ilvl w:val="0"/>
          <w:numId w:val="9"/>
        </w:numPr>
        <w:rPr>
          <w:rFonts w:asciiTheme="minorHAnsi" w:hAnsiTheme="minorHAnsi"/>
          <w:b/>
          <w:sz w:val="22"/>
          <w:szCs w:val="22"/>
          <w:u w:val="single"/>
          <w:lang w:eastAsia="en-US" w:bidi="en-US"/>
        </w:rPr>
      </w:pPr>
      <w:r>
        <w:rPr>
          <w:rFonts w:asciiTheme="minorHAnsi" w:hAnsiTheme="minorHAnsi"/>
          <w:b/>
          <w:sz w:val="22"/>
          <w:szCs w:val="22"/>
          <w:u w:val="single"/>
          <w:lang w:eastAsia="en-US" w:bidi="en-US"/>
        </w:rPr>
        <w:t>Sur l’a</w:t>
      </w:r>
      <w:r w:rsidR="00C2164D" w:rsidRPr="00C2164D">
        <w:rPr>
          <w:rFonts w:asciiTheme="minorHAnsi" w:hAnsiTheme="minorHAnsi"/>
          <w:b/>
          <w:sz w:val="22"/>
          <w:szCs w:val="22"/>
          <w:u w:val="single"/>
          <w:lang w:eastAsia="en-US" w:bidi="en-US"/>
        </w:rPr>
        <w:t>mélioration de l’accessibilité des services à la population (articles 25 et 26)</w:t>
      </w:r>
    </w:p>
    <w:p w:rsidR="00C2164D" w:rsidRPr="00C2164D" w:rsidRDefault="00C2164D" w:rsidP="00C2164D">
      <w:pPr>
        <w:rPr>
          <w:rFonts w:asciiTheme="minorHAnsi" w:eastAsia="Times New Roman" w:hAnsiTheme="minorHAnsi" w:cs="Times New Roman"/>
          <w:sz w:val="22"/>
        </w:rPr>
      </w:pPr>
      <w:r w:rsidRPr="00C2164D">
        <w:rPr>
          <w:rFonts w:asciiTheme="minorHAnsi" w:eastAsia="Times New Roman" w:hAnsiTheme="minorHAnsi" w:cs="Times New Roman"/>
          <w:sz w:val="22"/>
        </w:rPr>
        <w:sym w:font="Wingdings" w:char="F071"/>
      </w:r>
      <w:r w:rsidRPr="00C2164D">
        <w:rPr>
          <w:rFonts w:asciiTheme="minorHAnsi" w:eastAsia="Times New Roman" w:hAnsiTheme="minorHAnsi" w:cs="Times New Roman"/>
          <w:sz w:val="22"/>
        </w:rPr>
        <w:t xml:space="preserve"> A l’initiative d</w:t>
      </w:r>
      <w:r w:rsidR="00AF2825">
        <w:rPr>
          <w:rFonts w:asciiTheme="minorHAnsi" w:eastAsia="Times New Roman" w:hAnsiTheme="minorHAnsi" w:cs="Times New Roman"/>
          <w:sz w:val="22"/>
        </w:rPr>
        <w:t xml:space="preserve">e deux </w:t>
      </w:r>
      <w:r w:rsidRPr="00C2164D">
        <w:rPr>
          <w:rFonts w:asciiTheme="minorHAnsi" w:eastAsia="Times New Roman" w:hAnsiTheme="minorHAnsi" w:cs="Times New Roman"/>
          <w:b/>
          <w:sz w:val="22"/>
          <w:u w:val="single"/>
        </w:rPr>
        <w:t>amendements du RDSE</w:t>
      </w:r>
      <w:r w:rsidRPr="00C2164D">
        <w:rPr>
          <w:rFonts w:asciiTheme="minorHAnsi" w:eastAsia="Times New Roman" w:hAnsiTheme="minorHAnsi" w:cs="Times New Roman"/>
          <w:sz w:val="22"/>
        </w:rPr>
        <w:t>, l’</w:t>
      </w:r>
      <w:r w:rsidRPr="00C2164D">
        <w:rPr>
          <w:rFonts w:asciiTheme="minorHAnsi" w:eastAsia="Times New Roman" w:hAnsiTheme="minorHAnsi" w:cs="Times New Roman"/>
          <w:b/>
          <w:sz w:val="22"/>
          <w:u w:val="single"/>
        </w:rPr>
        <w:t>article 25</w:t>
      </w:r>
      <w:r w:rsidRPr="00C2164D">
        <w:rPr>
          <w:rFonts w:asciiTheme="minorHAnsi" w:eastAsia="Times New Roman" w:hAnsiTheme="minorHAnsi" w:cs="Times New Roman"/>
          <w:sz w:val="22"/>
        </w:rPr>
        <w:t xml:space="preserve">, qui </w:t>
      </w:r>
      <w:proofErr w:type="gramStart"/>
      <w:r w:rsidRPr="00C2164D">
        <w:rPr>
          <w:rFonts w:asciiTheme="minorHAnsi" w:eastAsia="Times New Roman" w:hAnsiTheme="minorHAnsi" w:cs="Times New Roman"/>
          <w:sz w:val="22"/>
        </w:rPr>
        <w:t>créait</w:t>
      </w:r>
      <w:proofErr w:type="gramEnd"/>
      <w:r w:rsidRPr="00C2164D">
        <w:rPr>
          <w:rFonts w:asciiTheme="minorHAnsi" w:eastAsia="Times New Roman" w:hAnsiTheme="minorHAnsi" w:cs="Times New Roman"/>
          <w:sz w:val="22"/>
        </w:rPr>
        <w:t xml:space="preserve"> un  schéma d'amélioration de l'accessibilité des services au public sur le territoire départemental, et l’</w:t>
      </w:r>
      <w:r w:rsidRPr="00C2164D">
        <w:rPr>
          <w:rFonts w:asciiTheme="minorHAnsi" w:eastAsia="Times New Roman" w:hAnsiTheme="minorHAnsi" w:cs="Times New Roman"/>
          <w:b/>
          <w:sz w:val="22"/>
          <w:u w:val="single"/>
        </w:rPr>
        <w:t>article 26</w:t>
      </w:r>
      <w:r w:rsidRPr="00C2164D">
        <w:rPr>
          <w:rFonts w:asciiTheme="minorHAnsi" w:eastAsia="Times New Roman" w:hAnsiTheme="minorHAnsi" w:cs="Times New Roman"/>
          <w:sz w:val="22"/>
        </w:rPr>
        <w:t>, qui créait les « maisons de services au public » en remplacement des actuelles « maisons de services publics », ont été supprimés.</w:t>
      </w:r>
    </w:p>
    <w:p w:rsidR="00C2164D" w:rsidRDefault="00C2164D" w:rsidP="00C2164D">
      <w:pPr>
        <w:rPr>
          <w:rFonts w:asciiTheme="minorHAnsi" w:eastAsia="Times New Roman" w:hAnsiTheme="minorHAnsi" w:cs="Times New Roman"/>
          <w:sz w:val="22"/>
        </w:rPr>
      </w:pPr>
    </w:p>
    <w:p w:rsidR="00AF2825" w:rsidRDefault="00AF2825" w:rsidP="00C2164D">
      <w:pPr>
        <w:rPr>
          <w:rFonts w:asciiTheme="minorHAnsi" w:eastAsia="Times New Roman" w:hAnsiTheme="minorHAnsi" w:cs="Times New Roman"/>
          <w:sz w:val="22"/>
        </w:rPr>
      </w:pPr>
    </w:p>
    <w:p w:rsidR="00AF2825" w:rsidRDefault="00AF2825" w:rsidP="00C2164D">
      <w:pPr>
        <w:rPr>
          <w:rFonts w:asciiTheme="minorHAnsi" w:eastAsia="Times New Roman" w:hAnsiTheme="minorHAnsi" w:cs="Times New Roman"/>
          <w:sz w:val="22"/>
        </w:rPr>
      </w:pPr>
    </w:p>
    <w:p w:rsidR="00AF2825" w:rsidRPr="00C2164D" w:rsidRDefault="00AF2825" w:rsidP="00C2164D">
      <w:pPr>
        <w:rPr>
          <w:rFonts w:asciiTheme="minorHAnsi" w:eastAsia="Times New Roman" w:hAnsiTheme="minorHAnsi" w:cs="Times New Roman"/>
          <w:sz w:val="22"/>
        </w:rPr>
      </w:pPr>
    </w:p>
    <w:p w:rsidR="00C2164D" w:rsidRPr="00C2164D" w:rsidRDefault="00C2164D" w:rsidP="00C2164D">
      <w:pPr>
        <w:pStyle w:val="Paragraphedeliste"/>
        <w:numPr>
          <w:ilvl w:val="0"/>
          <w:numId w:val="9"/>
        </w:numPr>
        <w:spacing w:after="0"/>
        <w:jc w:val="both"/>
        <w:rPr>
          <w:rFonts w:eastAsia="Times New Roman" w:cs="Times New Roman"/>
          <w:b/>
          <w:u w:val="single"/>
        </w:rPr>
      </w:pPr>
      <w:r w:rsidRPr="00C2164D">
        <w:rPr>
          <w:rFonts w:eastAsia="Times New Roman" w:cs="Times New Roman"/>
          <w:b/>
          <w:u w:val="single"/>
        </w:rPr>
        <w:lastRenderedPageBreak/>
        <w:t>Sur la lutte contre la fracture numérique (article 27)</w:t>
      </w:r>
    </w:p>
    <w:p w:rsidR="00C2164D" w:rsidRPr="00C2164D" w:rsidRDefault="00C2164D" w:rsidP="00C2164D">
      <w:pPr>
        <w:rPr>
          <w:rFonts w:asciiTheme="minorHAnsi" w:eastAsia="Times New Roman" w:hAnsiTheme="minorHAnsi" w:cs="Times New Roman"/>
          <w:b/>
          <w:sz w:val="22"/>
        </w:rPr>
      </w:pPr>
      <w:r w:rsidRPr="00C2164D">
        <w:rPr>
          <w:rFonts w:asciiTheme="minorHAnsi" w:eastAsia="Times New Roman" w:hAnsiTheme="minorHAnsi" w:cs="Times New Roman"/>
          <w:b/>
          <w:sz w:val="22"/>
        </w:rPr>
        <w:sym w:font="Wingdings" w:char="F071"/>
      </w:r>
      <w:r w:rsidRPr="00C2164D">
        <w:rPr>
          <w:rFonts w:asciiTheme="minorHAnsi" w:eastAsia="Times New Roman" w:hAnsiTheme="minorHAnsi" w:cs="Times New Roman"/>
          <w:b/>
          <w:sz w:val="22"/>
        </w:rPr>
        <w:t xml:space="preserve"> A l’initiative d’un amendement RDSE, le Sénat a adopté un article additionnel </w:t>
      </w:r>
      <w:r w:rsidRPr="00C2164D">
        <w:rPr>
          <w:rFonts w:asciiTheme="minorHAnsi" w:hAnsiTheme="minorHAnsi"/>
          <w:b/>
          <w:sz w:val="22"/>
        </w:rPr>
        <w:t>tendant à mettre en œuvre une obligation de couverture des zones dites « grises » et « blanches » de téléphonie mobile, en recourant à la prestation d'itinérance locale ou à la mutualisation des infrastructures.</w:t>
      </w:r>
    </w:p>
    <w:p w:rsidR="00C2164D" w:rsidRPr="00C2164D" w:rsidRDefault="00C2164D" w:rsidP="00C2164D">
      <w:pPr>
        <w:rPr>
          <w:rFonts w:asciiTheme="minorHAnsi" w:eastAsia="Times New Roman" w:hAnsiTheme="minorHAnsi" w:cs="Arial"/>
          <w:sz w:val="22"/>
        </w:rPr>
      </w:pPr>
    </w:p>
    <w:p w:rsidR="00C2164D" w:rsidRPr="00C2164D" w:rsidRDefault="00C2164D" w:rsidP="00C2164D">
      <w:pPr>
        <w:rPr>
          <w:rFonts w:asciiTheme="minorHAnsi" w:eastAsia="Times New Roman" w:hAnsiTheme="minorHAnsi" w:cs="Arial"/>
          <w:sz w:val="22"/>
        </w:rPr>
      </w:pPr>
    </w:p>
    <w:p w:rsidR="00C2164D" w:rsidRPr="00C2164D" w:rsidRDefault="00C2164D" w:rsidP="00C2164D">
      <w:pPr>
        <w:pStyle w:val="Paragraphedeliste"/>
        <w:numPr>
          <w:ilvl w:val="0"/>
          <w:numId w:val="9"/>
        </w:numPr>
        <w:spacing w:after="0" w:line="240" w:lineRule="auto"/>
        <w:jc w:val="both"/>
        <w:rPr>
          <w:b/>
          <w:u w:val="single"/>
        </w:rPr>
      </w:pPr>
      <w:r w:rsidRPr="00C2164D">
        <w:rPr>
          <w:b/>
          <w:u w:val="single"/>
        </w:rPr>
        <w:t>Sur la taxe relative à la gestion des milieux aquatiques et de prévention des inondations</w:t>
      </w:r>
    </w:p>
    <w:p w:rsidR="00C2164D" w:rsidRPr="00C2164D" w:rsidRDefault="00C2164D" w:rsidP="00C2164D">
      <w:pPr>
        <w:rPr>
          <w:rFonts w:asciiTheme="minorHAnsi" w:hAnsiTheme="minorHAnsi"/>
          <w:sz w:val="22"/>
        </w:rPr>
      </w:pPr>
    </w:p>
    <w:p w:rsidR="00C2164D" w:rsidRPr="00C2164D" w:rsidRDefault="00C2164D" w:rsidP="00C2164D">
      <w:pPr>
        <w:pStyle w:val="NormalWeb"/>
        <w:spacing w:before="0" w:beforeAutospacing="0" w:after="0" w:afterAutospacing="0"/>
        <w:jc w:val="both"/>
        <w:rPr>
          <w:rFonts w:asciiTheme="minorHAnsi" w:hAnsiTheme="minorHAnsi"/>
          <w:sz w:val="22"/>
          <w:szCs w:val="22"/>
        </w:rPr>
      </w:pPr>
      <w:r w:rsidRPr="00C2164D">
        <w:rPr>
          <w:rFonts w:asciiTheme="minorHAnsi" w:hAnsiTheme="minorHAnsi"/>
          <w:sz w:val="22"/>
          <w:szCs w:val="22"/>
        </w:rPr>
        <w:sym w:font="Wingdings" w:char="F071"/>
      </w:r>
      <w:r w:rsidRPr="00C2164D">
        <w:rPr>
          <w:rFonts w:asciiTheme="minorHAnsi" w:hAnsiTheme="minorHAnsi"/>
          <w:sz w:val="22"/>
          <w:szCs w:val="22"/>
        </w:rPr>
        <w:t xml:space="preserve"> A été adopté un amendement de </w:t>
      </w:r>
      <w:r w:rsidRPr="00C2164D">
        <w:rPr>
          <w:rFonts w:asciiTheme="minorHAnsi" w:hAnsiTheme="minorHAnsi"/>
          <w:b/>
          <w:sz w:val="22"/>
          <w:szCs w:val="22"/>
          <w:u w:val="single"/>
        </w:rPr>
        <w:t>Pierre-Yves COLLOMBAT</w:t>
      </w:r>
      <w:r w:rsidRPr="00C2164D">
        <w:rPr>
          <w:rFonts w:asciiTheme="minorHAnsi" w:hAnsiTheme="minorHAnsi"/>
          <w:sz w:val="22"/>
          <w:szCs w:val="22"/>
        </w:rPr>
        <w:t xml:space="preserve"> ayant pour objet :</w:t>
      </w:r>
    </w:p>
    <w:p w:rsidR="00C2164D" w:rsidRPr="00C2164D" w:rsidRDefault="00C2164D" w:rsidP="00C2164D">
      <w:pPr>
        <w:pStyle w:val="NormalWeb"/>
        <w:numPr>
          <w:ilvl w:val="0"/>
          <w:numId w:val="7"/>
        </w:numPr>
        <w:spacing w:before="0" w:beforeAutospacing="0" w:after="0" w:afterAutospacing="0"/>
        <w:jc w:val="both"/>
        <w:rPr>
          <w:rFonts w:asciiTheme="minorHAnsi" w:hAnsiTheme="minorHAnsi"/>
          <w:sz w:val="22"/>
          <w:szCs w:val="22"/>
        </w:rPr>
      </w:pPr>
      <w:r w:rsidRPr="00C2164D">
        <w:rPr>
          <w:rFonts w:asciiTheme="minorHAnsi" w:hAnsiTheme="minorHAnsi"/>
          <w:sz w:val="22"/>
          <w:szCs w:val="22"/>
        </w:rPr>
        <w:t>d’une part, de lever une ambiguïté résultant de la lecture combinée des articles L. 211-7-2 du code de l’environnement autorisant le financement des actions en matière de gestion des milieux aquatiques par une taxe pour la gestion des milieux aquatiques et l’article 1530 bis du code général des impôts qui précise cette taxe.</w:t>
      </w:r>
    </w:p>
    <w:p w:rsidR="00C2164D" w:rsidRPr="00C2164D" w:rsidRDefault="00C2164D" w:rsidP="00C2164D">
      <w:pPr>
        <w:pStyle w:val="NormalWeb"/>
        <w:numPr>
          <w:ilvl w:val="0"/>
          <w:numId w:val="7"/>
        </w:numPr>
        <w:spacing w:before="0" w:beforeAutospacing="0" w:after="0" w:afterAutospacing="0"/>
        <w:jc w:val="both"/>
        <w:rPr>
          <w:rFonts w:asciiTheme="minorHAnsi" w:hAnsiTheme="minorHAnsi"/>
          <w:sz w:val="22"/>
          <w:szCs w:val="22"/>
        </w:rPr>
      </w:pPr>
      <w:r w:rsidRPr="00C2164D">
        <w:rPr>
          <w:rFonts w:asciiTheme="minorHAnsi" w:hAnsiTheme="minorHAnsi"/>
          <w:sz w:val="22"/>
          <w:szCs w:val="22"/>
        </w:rPr>
        <w:t>d’autre part, de repousser du 1er janvier 2016 au 1er janvier 2018 la date de la prise de la compétence de gestion des milieux aquatiques par le bloc communal.</w:t>
      </w:r>
    </w:p>
    <w:p w:rsidR="00C2164D" w:rsidRPr="00C2164D" w:rsidRDefault="00C2164D" w:rsidP="00C2164D">
      <w:pPr>
        <w:rPr>
          <w:rFonts w:asciiTheme="minorHAnsi" w:eastAsia="Times New Roman" w:hAnsiTheme="minorHAnsi" w:cs="Arial"/>
          <w:sz w:val="22"/>
        </w:rPr>
      </w:pPr>
    </w:p>
    <w:p w:rsidR="00C2164D" w:rsidRPr="00C2164D" w:rsidRDefault="00C2164D" w:rsidP="00C2164D">
      <w:pPr>
        <w:pStyle w:val="Paragraphedeliste"/>
        <w:numPr>
          <w:ilvl w:val="0"/>
          <w:numId w:val="8"/>
        </w:numPr>
        <w:spacing w:after="0"/>
        <w:jc w:val="both"/>
        <w:rPr>
          <w:b/>
          <w:u w:val="single"/>
        </w:rPr>
      </w:pPr>
      <w:r w:rsidRPr="00C2164D">
        <w:rPr>
          <w:b/>
          <w:u w:val="single"/>
        </w:rPr>
        <w:t>Sur la présence des sénateurs à la CTAP (article 28 bis)</w:t>
      </w:r>
    </w:p>
    <w:p w:rsidR="00C2164D" w:rsidRPr="00C2164D" w:rsidRDefault="00C2164D" w:rsidP="00C2164D">
      <w:pPr>
        <w:rPr>
          <w:rFonts w:asciiTheme="minorHAnsi" w:hAnsiTheme="minorHAnsi"/>
          <w:sz w:val="22"/>
        </w:rPr>
      </w:pPr>
      <w:r w:rsidRPr="00C2164D">
        <w:rPr>
          <w:rFonts w:asciiTheme="minorHAnsi" w:hAnsiTheme="minorHAnsi"/>
          <w:sz w:val="22"/>
        </w:rPr>
        <w:sym w:font="Wingdings" w:char="F071"/>
      </w:r>
      <w:r w:rsidRPr="00C2164D">
        <w:rPr>
          <w:rFonts w:asciiTheme="minorHAnsi" w:hAnsiTheme="minorHAnsi"/>
          <w:sz w:val="22"/>
        </w:rPr>
        <w:t xml:space="preserve"> A été adopté un </w:t>
      </w:r>
      <w:r w:rsidRPr="00C2164D">
        <w:rPr>
          <w:rFonts w:asciiTheme="minorHAnsi" w:hAnsiTheme="minorHAnsi"/>
          <w:b/>
          <w:sz w:val="22"/>
          <w:u w:val="single"/>
        </w:rPr>
        <w:t>amendement RDSE</w:t>
      </w:r>
      <w:r w:rsidRPr="00C2164D">
        <w:rPr>
          <w:rFonts w:asciiTheme="minorHAnsi" w:hAnsiTheme="minorHAnsi"/>
          <w:sz w:val="22"/>
        </w:rPr>
        <w:t xml:space="preserve"> visant à ce que les sénateurs fassent partie intégrante de la CTAP, afin de pouvoir continuer à exercer leurs missions définies à l’article 24 de la Constitution.</w:t>
      </w:r>
    </w:p>
    <w:p w:rsidR="00C2164D" w:rsidRPr="00C2164D" w:rsidRDefault="00C2164D">
      <w:pPr>
        <w:rPr>
          <w:rFonts w:asciiTheme="minorHAnsi" w:hAnsiTheme="minorHAnsi"/>
          <w:sz w:val="22"/>
        </w:rPr>
      </w:pPr>
    </w:p>
    <w:sectPr w:rsidR="00C2164D" w:rsidRPr="00C2164D" w:rsidSect="00600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628"/>
    <w:multiLevelType w:val="hybridMultilevel"/>
    <w:tmpl w:val="6C767502"/>
    <w:lvl w:ilvl="0" w:tplc="040C0011">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DA914F2"/>
    <w:multiLevelType w:val="hybridMultilevel"/>
    <w:tmpl w:val="A2E0E5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A0314C"/>
    <w:multiLevelType w:val="hybridMultilevel"/>
    <w:tmpl w:val="7EC866DA"/>
    <w:lvl w:ilvl="0" w:tplc="CAC2FA68">
      <w:start w:val="1"/>
      <w:numFmt w:val="upperRoman"/>
      <w:lvlText w:val="%1)"/>
      <w:lvlJc w:val="left"/>
      <w:pPr>
        <w:ind w:left="1080" w:hanging="720"/>
      </w:pPr>
      <w:rPr>
        <w:rFonts w:hint="default"/>
      </w:rPr>
    </w:lvl>
    <w:lvl w:ilvl="1" w:tplc="38208312">
      <w:start w:val="7"/>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4680A"/>
    <w:multiLevelType w:val="hybridMultilevel"/>
    <w:tmpl w:val="6C767502"/>
    <w:lvl w:ilvl="0" w:tplc="040C0011">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7253E74"/>
    <w:multiLevelType w:val="hybridMultilevel"/>
    <w:tmpl w:val="59A45532"/>
    <w:lvl w:ilvl="0" w:tplc="457ACE86">
      <w:start w:val="7"/>
      <w:numFmt w:val="decimal"/>
      <w:lvlText w:val="%1)"/>
      <w:lvlJc w:val="left"/>
      <w:pPr>
        <w:ind w:left="1495" w:hanging="360"/>
      </w:pPr>
      <w:rPr>
        <w:rFonts w:eastAsia="Calibri" w:hint="default"/>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3A5502CA"/>
    <w:multiLevelType w:val="hybridMultilevel"/>
    <w:tmpl w:val="6018D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54184A"/>
    <w:multiLevelType w:val="hybridMultilevel"/>
    <w:tmpl w:val="797AB742"/>
    <w:lvl w:ilvl="0" w:tplc="040C0011">
      <w:start w:val="1"/>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7">
    <w:nsid w:val="74483245"/>
    <w:multiLevelType w:val="hybridMultilevel"/>
    <w:tmpl w:val="6C767502"/>
    <w:lvl w:ilvl="0" w:tplc="040C0011">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7AF90232"/>
    <w:multiLevelType w:val="hybridMultilevel"/>
    <w:tmpl w:val="B68CB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4D"/>
    <w:rsid w:val="00017D9E"/>
    <w:rsid w:val="00070764"/>
    <w:rsid w:val="00194C64"/>
    <w:rsid w:val="001B5B50"/>
    <w:rsid w:val="001D46CA"/>
    <w:rsid w:val="00226B80"/>
    <w:rsid w:val="004E3DA3"/>
    <w:rsid w:val="00600630"/>
    <w:rsid w:val="00714CA0"/>
    <w:rsid w:val="00732383"/>
    <w:rsid w:val="009B5395"/>
    <w:rsid w:val="00A64129"/>
    <w:rsid w:val="00AC5C67"/>
    <w:rsid w:val="00AF2825"/>
    <w:rsid w:val="00B227FB"/>
    <w:rsid w:val="00C21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64"/>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modeles-petite-loiconfectiontexteloitexte">
    <w:name w:val="dmodeles-petite-loiconfectiontexteloitexte"/>
    <w:basedOn w:val="Normal"/>
    <w:rsid w:val="00C2164D"/>
    <w:pPr>
      <w:spacing w:before="100" w:beforeAutospacing="1" w:after="100" w:afterAutospacing="1"/>
      <w:jc w:val="left"/>
    </w:pPr>
    <w:rPr>
      <w:rFonts w:ascii="Times New Roman" w:eastAsia="Times New Roman" w:hAnsi="Times New Roman" w:cs="Times New Roman"/>
      <w:color w:val="auto"/>
      <w:szCs w:val="24"/>
      <w:lang w:eastAsia="fr-FR"/>
    </w:rPr>
  </w:style>
  <w:style w:type="paragraph" w:styleId="Paragraphedeliste">
    <w:name w:val="List Paragraph"/>
    <w:basedOn w:val="Normal"/>
    <w:uiPriority w:val="34"/>
    <w:qFormat/>
    <w:rsid w:val="00C2164D"/>
    <w:pPr>
      <w:spacing w:after="240" w:line="480" w:lineRule="auto"/>
      <w:ind w:left="720" w:firstLine="360"/>
      <w:contextualSpacing/>
      <w:jc w:val="left"/>
    </w:pPr>
    <w:rPr>
      <w:rFonts w:asciiTheme="minorHAnsi" w:hAnsiTheme="minorHAnsi"/>
      <w:color w:val="auto"/>
      <w:sz w:val="22"/>
      <w:lang w:bidi="en-US"/>
    </w:rPr>
  </w:style>
  <w:style w:type="paragraph" w:styleId="NormalWeb">
    <w:name w:val="Normal (Web)"/>
    <w:basedOn w:val="Normal"/>
    <w:uiPriority w:val="99"/>
    <w:unhideWhenUsed/>
    <w:rsid w:val="00C2164D"/>
    <w:pPr>
      <w:spacing w:before="100" w:beforeAutospacing="1" w:after="100" w:afterAutospacing="1"/>
      <w:jc w:val="left"/>
    </w:pPr>
    <w:rPr>
      <w:rFonts w:ascii="Times New Roman" w:eastAsia="Times New Roman" w:hAnsi="Times New Roman" w:cs="Times New Roman"/>
      <w:color w:val="auto"/>
      <w:szCs w:val="24"/>
      <w:lang w:eastAsia="fr-FR"/>
    </w:rPr>
  </w:style>
  <w:style w:type="character" w:styleId="lev">
    <w:name w:val="Strong"/>
    <w:basedOn w:val="Policepardfaut"/>
    <w:uiPriority w:val="22"/>
    <w:qFormat/>
    <w:rsid w:val="00C2164D"/>
    <w:rPr>
      <w:b/>
      <w:bCs/>
    </w:rPr>
  </w:style>
  <w:style w:type="paragraph" w:customStyle="1" w:styleId="dmodeles-petite-loiconfectiontexte5chapitrenum">
    <w:name w:val="dmodeles-petite-loiconfectiontexte5chapitrenum"/>
    <w:basedOn w:val="Normal"/>
    <w:rsid w:val="00C2164D"/>
    <w:pPr>
      <w:spacing w:before="100" w:beforeAutospacing="1" w:after="100" w:afterAutospacing="1"/>
      <w:jc w:val="left"/>
    </w:pPr>
    <w:rPr>
      <w:rFonts w:ascii="Times New Roman" w:eastAsia="Times New Roman" w:hAnsi="Times New Roman" w:cs="Times New Roman"/>
      <w:color w:val="auto"/>
      <w:szCs w:val="24"/>
      <w:lang w:eastAsia="fr-FR"/>
    </w:rPr>
  </w:style>
  <w:style w:type="paragraph" w:customStyle="1" w:styleId="bodytext">
    <w:name w:val="bodytext"/>
    <w:basedOn w:val="Normal"/>
    <w:rsid w:val="00B227FB"/>
    <w:pPr>
      <w:spacing w:before="100" w:beforeAutospacing="1" w:after="100" w:afterAutospacing="1"/>
      <w:jc w:val="left"/>
    </w:pPr>
    <w:rPr>
      <w:rFonts w:ascii="Times New Roman" w:eastAsia="Times New Roman" w:hAnsi="Times New Roman" w:cs="Times New Roman"/>
      <w:color w:val="auto"/>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64"/>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modeles-petite-loiconfectiontexteloitexte">
    <w:name w:val="dmodeles-petite-loiconfectiontexteloitexte"/>
    <w:basedOn w:val="Normal"/>
    <w:rsid w:val="00C2164D"/>
    <w:pPr>
      <w:spacing w:before="100" w:beforeAutospacing="1" w:after="100" w:afterAutospacing="1"/>
      <w:jc w:val="left"/>
    </w:pPr>
    <w:rPr>
      <w:rFonts w:ascii="Times New Roman" w:eastAsia="Times New Roman" w:hAnsi="Times New Roman" w:cs="Times New Roman"/>
      <w:color w:val="auto"/>
      <w:szCs w:val="24"/>
      <w:lang w:eastAsia="fr-FR"/>
    </w:rPr>
  </w:style>
  <w:style w:type="paragraph" w:styleId="Paragraphedeliste">
    <w:name w:val="List Paragraph"/>
    <w:basedOn w:val="Normal"/>
    <w:uiPriority w:val="34"/>
    <w:qFormat/>
    <w:rsid w:val="00C2164D"/>
    <w:pPr>
      <w:spacing w:after="240" w:line="480" w:lineRule="auto"/>
      <w:ind w:left="720" w:firstLine="360"/>
      <w:contextualSpacing/>
      <w:jc w:val="left"/>
    </w:pPr>
    <w:rPr>
      <w:rFonts w:asciiTheme="minorHAnsi" w:hAnsiTheme="minorHAnsi"/>
      <w:color w:val="auto"/>
      <w:sz w:val="22"/>
      <w:lang w:bidi="en-US"/>
    </w:rPr>
  </w:style>
  <w:style w:type="paragraph" w:styleId="NormalWeb">
    <w:name w:val="Normal (Web)"/>
    <w:basedOn w:val="Normal"/>
    <w:uiPriority w:val="99"/>
    <w:unhideWhenUsed/>
    <w:rsid w:val="00C2164D"/>
    <w:pPr>
      <w:spacing w:before="100" w:beforeAutospacing="1" w:after="100" w:afterAutospacing="1"/>
      <w:jc w:val="left"/>
    </w:pPr>
    <w:rPr>
      <w:rFonts w:ascii="Times New Roman" w:eastAsia="Times New Roman" w:hAnsi="Times New Roman" w:cs="Times New Roman"/>
      <w:color w:val="auto"/>
      <w:szCs w:val="24"/>
      <w:lang w:eastAsia="fr-FR"/>
    </w:rPr>
  </w:style>
  <w:style w:type="character" w:styleId="lev">
    <w:name w:val="Strong"/>
    <w:basedOn w:val="Policepardfaut"/>
    <w:uiPriority w:val="22"/>
    <w:qFormat/>
    <w:rsid w:val="00C2164D"/>
    <w:rPr>
      <w:b/>
      <w:bCs/>
    </w:rPr>
  </w:style>
  <w:style w:type="paragraph" w:customStyle="1" w:styleId="dmodeles-petite-loiconfectiontexte5chapitrenum">
    <w:name w:val="dmodeles-petite-loiconfectiontexte5chapitrenum"/>
    <w:basedOn w:val="Normal"/>
    <w:rsid w:val="00C2164D"/>
    <w:pPr>
      <w:spacing w:before="100" w:beforeAutospacing="1" w:after="100" w:afterAutospacing="1"/>
      <w:jc w:val="left"/>
    </w:pPr>
    <w:rPr>
      <w:rFonts w:ascii="Times New Roman" w:eastAsia="Times New Roman" w:hAnsi="Times New Roman" w:cs="Times New Roman"/>
      <w:color w:val="auto"/>
      <w:szCs w:val="24"/>
      <w:lang w:eastAsia="fr-FR"/>
    </w:rPr>
  </w:style>
  <w:style w:type="paragraph" w:customStyle="1" w:styleId="bodytext">
    <w:name w:val="bodytext"/>
    <w:basedOn w:val="Normal"/>
    <w:rsid w:val="00B227FB"/>
    <w:pPr>
      <w:spacing w:before="100" w:beforeAutospacing="1" w:after="100" w:afterAutospacing="1"/>
      <w:jc w:val="left"/>
    </w:pPr>
    <w:rPr>
      <w:rFonts w:ascii="Times New Roman" w:eastAsia="Times New Roman" w:hAnsi="Times New Roman" w:cs="Times New Roman"/>
      <w:color w:val="auto"/>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20010">
      <w:bodyDiv w:val="1"/>
      <w:marLeft w:val="0"/>
      <w:marRight w:val="0"/>
      <w:marTop w:val="0"/>
      <w:marBottom w:val="0"/>
      <w:divBdr>
        <w:top w:val="none" w:sz="0" w:space="0" w:color="auto"/>
        <w:left w:val="none" w:sz="0" w:space="0" w:color="auto"/>
        <w:bottom w:val="none" w:sz="0" w:space="0" w:color="auto"/>
        <w:right w:val="none" w:sz="0" w:space="0" w:color="auto"/>
      </w:divBdr>
      <w:divsChild>
        <w:div w:id="779567202">
          <w:marLeft w:val="0"/>
          <w:marRight w:val="0"/>
          <w:marTop w:val="0"/>
          <w:marBottom w:val="0"/>
          <w:divBdr>
            <w:top w:val="none" w:sz="0" w:space="0" w:color="auto"/>
            <w:left w:val="none" w:sz="0" w:space="0" w:color="auto"/>
            <w:bottom w:val="none" w:sz="0" w:space="0" w:color="auto"/>
            <w:right w:val="none" w:sz="0" w:space="0" w:color="auto"/>
          </w:divBdr>
          <w:divsChild>
            <w:div w:id="1172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Sandrine</cp:lastModifiedBy>
  <cp:revision>3</cp:revision>
  <dcterms:created xsi:type="dcterms:W3CDTF">2015-01-28T15:43:00Z</dcterms:created>
  <dcterms:modified xsi:type="dcterms:W3CDTF">2015-01-28T15:44:00Z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