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7218" w:rsidRDefault="00CA7218" w:rsidP="00896F11">
      <w:pPr>
        <w:pStyle w:val="bodytext"/>
        <w:spacing w:before="0" w:beforeAutospacing="0" w:after="0" w:afterAutospacing="0"/>
        <w:jc w:val="right"/>
        <w:rPr>
          <w:rFonts w:asciiTheme="minorHAnsi" w:hAnsiTheme="minorHAnsi" w:cs="Arial"/>
          <w:sz w:val="22"/>
          <w:szCs w:val="22"/>
        </w:rPr>
      </w:pPr>
      <w:r w:rsidRPr="00896F11">
        <w:rPr>
          <w:rFonts w:asciiTheme="minorHAnsi" w:hAnsiTheme="minorHAnsi" w:cs="Arial"/>
          <w:noProof/>
          <w:sz w:val="22"/>
          <w:szCs w:val="22"/>
        </w:rPr>
        <w:drawing>
          <wp:anchor distT="0" distB="0" distL="114300" distR="114300" simplePos="0" relativeHeight="251659264" behindDoc="1" locked="0" layoutInCell="1" allowOverlap="0">
            <wp:simplePos x="0" y="0"/>
            <wp:positionH relativeFrom="column">
              <wp:posOffset>-302775</wp:posOffset>
            </wp:positionH>
            <wp:positionV relativeFrom="paragraph">
              <wp:posOffset>-520233</wp:posOffset>
            </wp:positionV>
            <wp:extent cx="4922987" cy="457200"/>
            <wp:effectExtent l="19050" t="0" r="9525" b="0"/>
            <wp:wrapNone/>
            <wp:docPr id="2" name="Image 2" descr="NOTE DE SYNTHÈSE-en-tê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TE DE SYNTHÈSE-en-tête"/>
                    <pic:cNvPicPr>
                      <a:picLocks noChangeAspect="1" noChangeArrowheads="1"/>
                    </pic:cNvPicPr>
                  </pic:nvPicPr>
                  <pic:blipFill>
                    <a:blip r:embed="rId9" cstate="print"/>
                    <a:srcRect/>
                    <a:stretch>
                      <a:fillRect/>
                    </a:stretch>
                  </pic:blipFill>
                  <pic:spPr bwMode="auto">
                    <a:xfrm>
                      <a:off x="0" y="0"/>
                      <a:ext cx="4924425" cy="457200"/>
                    </a:xfrm>
                    <a:prstGeom prst="rect">
                      <a:avLst/>
                    </a:prstGeom>
                    <a:noFill/>
                  </pic:spPr>
                </pic:pic>
              </a:graphicData>
            </a:graphic>
          </wp:anchor>
        </w:drawing>
      </w:r>
      <w:r w:rsidR="003827D3">
        <w:rPr>
          <w:rFonts w:asciiTheme="minorHAnsi" w:hAnsiTheme="minorHAnsi" w:cs="Arial"/>
          <w:sz w:val="22"/>
          <w:szCs w:val="22"/>
        </w:rPr>
        <w:t>2</w:t>
      </w:r>
      <w:r w:rsidR="00A74233">
        <w:rPr>
          <w:rFonts w:asciiTheme="minorHAnsi" w:hAnsiTheme="minorHAnsi" w:cs="Arial"/>
          <w:sz w:val="22"/>
          <w:szCs w:val="22"/>
        </w:rPr>
        <w:t>6</w:t>
      </w:r>
      <w:bookmarkStart w:id="0" w:name="_GoBack"/>
      <w:bookmarkEnd w:id="0"/>
      <w:r w:rsidRPr="00896F11">
        <w:rPr>
          <w:rFonts w:asciiTheme="minorHAnsi" w:hAnsiTheme="minorHAnsi" w:cs="Arial"/>
          <w:sz w:val="22"/>
          <w:szCs w:val="22"/>
        </w:rPr>
        <w:t xml:space="preserve"> </w:t>
      </w:r>
      <w:r w:rsidR="001D0B4D">
        <w:rPr>
          <w:rFonts w:asciiTheme="minorHAnsi" w:hAnsiTheme="minorHAnsi" w:cs="Arial"/>
          <w:sz w:val="22"/>
          <w:szCs w:val="22"/>
        </w:rPr>
        <w:t xml:space="preserve">Janvier </w:t>
      </w:r>
      <w:r w:rsidRPr="00896F11">
        <w:rPr>
          <w:rFonts w:asciiTheme="minorHAnsi" w:hAnsiTheme="minorHAnsi" w:cs="Arial"/>
          <w:sz w:val="22"/>
          <w:szCs w:val="22"/>
        </w:rPr>
        <w:t>2014</w:t>
      </w:r>
    </w:p>
    <w:p w:rsidR="00E80ADA" w:rsidRPr="00896F11" w:rsidRDefault="00E80ADA" w:rsidP="00896F11">
      <w:pPr>
        <w:pStyle w:val="bodytext"/>
        <w:spacing w:before="0" w:beforeAutospacing="0" w:after="0" w:afterAutospacing="0"/>
        <w:jc w:val="right"/>
        <w:rPr>
          <w:rFonts w:asciiTheme="minorHAnsi" w:hAnsiTheme="minorHAnsi" w:cs="Arial"/>
          <w:sz w:val="22"/>
          <w:szCs w:val="22"/>
        </w:rPr>
      </w:pPr>
    </w:p>
    <w:p w:rsidR="00CA7218" w:rsidRPr="00896F11" w:rsidRDefault="00CA7218" w:rsidP="00896F11">
      <w:pPr>
        <w:shd w:val="clear" w:color="auto" w:fill="5F497A"/>
        <w:spacing w:after="0"/>
        <w:jc w:val="center"/>
        <w:rPr>
          <w:rFonts w:cs="Arial"/>
          <w:b/>
          <w:caps/>
          <w:color w:val="FFFFFF"/>
        </w:rPr>
      </w:pPr>
    </w:p>
    <w:p w:rsidR="00BA5FF5" w:rsidRPr="00896F11" w:rsidRDefault="00CA7218" w:rsidP="00896F11">
      <w:pPr>
        <w:shd w:val="clear" w:color="auto" w:fill="5F497A"/>
        <w:spacing w:after="0"/>
        <w:jc w:val="center"/>
        <w:rPr>
          <w:rFonts w:cs="Arial"/>
          <w:b/>
          <w:caps/>
          <w:color w:val="FFFFFF"/>
        </w:rPr>
      </w:pPr>
      <w:r w:rsidRPr="00896F11">
        <w:rPr>
          <w:rFonts w:cs="Arial"/>
          <w:b/>
          <w:caps/>
          <w:color w:val="FFFFFF"/>
        </w:rPr>
        <w:t>PRO</w:t>
      </w:r>
      <w:r w:rsidR="00BA5FF5" w:rsidRPr="00896F11">
        <w:rPr>
          <w:rFonts w:cs="Arial"/>
          <w:b/>
          <w:caps/>
          <w:color w:val="FFFFFF"/>
        </w:rPr>
        <w:t xml:space="preserve">jet de loi </w:t>
      </w:r>
    </w:p>
    <w:p w:rsidR="00CA7218" w:rsidRDefault="00BA5FF5" w:rsidP="00896F11">
      <w:pPr>
        <w:shd w:val="clear" w:color="auto" w:fill="5F497A"/>
        <w:spacing w:after="0"/>
        <w:jc w:val="center"/>
        <w:rPr>
          <w:rFonts w:cs="Arial"/>
          <w:b/>
          <w:caps/>
          <w:color w:val="FFFFFF"/>
        </w:rPr>
      </w:pPr>
      <w:r w:rsidRPr="00896F11">
        <w:rPr>
          <w:rFonts w:cs="Arial"/>
          <w:b/>
          <w:caps/>
          <w:color w:val="FFFFFF"/>
        </w:rPr>
        <w:t>relatif à la nouvelle organisation territoriale de la republique</w:t>
      </w:r>
    </w:p>
    <w:p w:rsidR="002C599A" w:rsidRDefault="002C599A" w:rsidP="00896F11">
      <w:pPr>
        <w:shd w:val="clear" w:color="auto" w:fill="5F497A"/>
        <w:spacing w:after="0"/>
        <w:jc w:val="center"/>
        <w:rPr>
          <w:rFonts w:cs="Arial"/>
          <w:b/>
          <w:caps/>
          <w:color w:val="FFFFFF"/>
        </w:rPr>
      </w:pPr>
      <w:r>
        <w:rPr>
          <w:rFonts w:cs="Arial"/>
          <w:b/>
          <w:caps/>
          <w:color w:val="FFFFFF"/>
        </w:rPr>
        <w:t>BILAN PREMIERE LECTURE AU SENAT</w:t>
      </w:r>
    </w:p>
    <w:p w:rsidR="00CA7218" w:rsidRPr="00896F11" w:rsidRDefault="00CA7218" w:rsidP="00896F11">
      <w:pPr>
        <w:shd w:val="clear" w:color="auto" w:fill="5F497A"/>
        <w:spacing w:after="0"/>
        <w:jc w:val="center"/>
        <w:rPr>
          <w:rFonts w:cs="Arial"/>
          <w:b/>
          <w:caps/>
          <w:color w:val="FFFFFF"/>
        </w:rPr>
      </w:pPr>
    </w:p>
    <w:p w:rsidR="00CA7218" w:rsidRPr="00896F11" w:rsidRDefault="00CA7218" w:rsidP="00896F11">
      <w:pPr>
        <w:pStyle w:val="bodytext"/>
        <w:spacing w:before="0" w:beforeAutospacing="0" w:after="0" w:afterAutospacing="0"/>
        <w:jc w:val="both"/>
        <w:rPr>
          <w:rFonts w:asciiTheme="minorHAnsi" w:hAnsiTheme="minorHAnsi" w:cs="Arial"/>
          <w:sz w:val="22"/>
          <w:szCs w:val="22"/>
        </w:rPr>
      </w:pPr>
    </w:p>
    <w:p w:rsidR="00CA7218" w:rsidRDefault="00CA7218" w:rsidP="00896F11">
      <w:pPr>
        <w:pStyle w:val="bodytext"/>
        <w:spacing w:before="0" w:beforeAutospacing="0" w:after="0" w:afterAutospacing="0"/>
        <w:jc w:val="both"/>
        <w:rPr>
          <w:rFonts w:asciiTheme="minorHAnsi" w:hAnsiTheme="minorHAnsi" w:cs="Arial"/>
          <w:sz w:val="22"/>
          <w:szCs w:val="22"/>
        </w:rPr>
      </w:pPr>
    </w:p>
    <w:p w:rsidR="00290AD8" w:rsidRPr="00290AD8" w:rsidRDefault="00290AD8" w:rsidP="00290AD8">
      <w:pPr>
        <w:pStyle w:val="bodytext"/>
        <w:pBdr>
          <w:top w:val="single" w:sz="4" w:space="1" w:color="auto"/>
          <w:left w:val="single" w:sz="4" w:space="4" w:color="auto"/>
          <w:bottom w:val="single" w:sz="4" w:space="1" w:color="auto"/>
          <w:right w:val="single" w:sz="4" w:space="4" w:color="auto"/>
        </w:pBdr>
        <w:spacing w:before="0" w:beforeAutospacing="0" w:after="0" w:afterAutospacing="0"/>
        <w:jc w:val="both"/>
        <w:rPr>
          <w:rFonts w:asciiTheme="minorHAnsi" w:hAnsiTheme="minorHAnsi" w:cs="Arial"/>
          <w:b/>
          <w:sz w:val="22"/>
          <w:szCs w:val="22"/>
        </w:rPr>
      </w:pPr>
      <w:r w:rsidRPr="00290AD8">
        <w:rPr>
          <w:rFonts w:asciiTheme="minorHAnsi" w:hAnsiTheme="minorHAnsi" w:cs="Arial"/>
          <w:b/>
          <w:sz w:val="22"/>
          <w:szCs w:val="22"/>
        </w:rPr>
        <w:t>Le vote du projet de loi dans la version adoptée par le Sénat en première lecture aura lieu le mardi 27 janvier 2015.</w:t>
      </w:r>
    </w:p>
    <w:p w:rsidR="00290AD8" w:rsidRPr="00896F11" w:rsidRDefault="00290AD8" w:rsidP="00896F11">
      <w:pPr>
        <w:pStyle w:val="bodytext"/>
        <w:spacing w:before="0" w:beforeAutospacing="0" w:after="0" w:afterAutospacing="0"/>
        <w:jc w:val="both"/>
        <w:rPr>
          <w:rFonts w:asciiTheme="minorHAnsi" w:hAnsiTheme="minorHAnsi" w:cs="Arial"/>
          <w:sz w:val="22"/>
          <w:szCs w:val="22"/>
        </w:rPr>
      </w:pPr>
    </w:p>
    <w:p w:rsidR="00CA7218" w:rsidRDefault="00CA7218" w:rsidP="00896F11">
      <w:pPr>
        <w:spacing w:after="0"/>
        <w:rPr>
          <w:rFonts w:cs="Arial"/>
        </w:rPr>
      </w:pPr>
    </w:p>
    <w:p w:rsidR="008519DB" w:rsidRPr="001B3702" w:rsidRDefault="00BB7E93" w:rsidP="001B3702">
      <w:pPr>
        <w:pStyle w:val="Paragraphedeliste"/>
        <w:numPr>
          <w:ilvl w:val="0"/>
          <w:numId w:val="12"/>
        </w:numPr>
        <w:spacing w:after="0" w:line="240" w:lineRule="auto"/>
        <w:ind w:left="1077"/>
        <w:jc w:val="both"/>
        <w:rPr>
          <w:rFonts w:eastAsia="Calibri"/>
          <w:b/>
          <w:u w:val="single"/>
        </w:rPr>
      </w:pPr>
      <w:r w:rsidRPr="001B3702">
        <w:rPr>
          <w:rFonts w:eastAsia="Calibri"/>
          <w:b/>
          <w:u w:val="single"/>
        </w:rPr>
        <w:t>TITRE I - LE RENFORCEMENT DES RESPONSABILITES REGIONALES ET L'EVOLUTION DE LA CARTE DES REGIONS</w:t>
      </w:r>
    </w:p>
    <w:p w:rsidR="001B3702" w:rsidRDefault="001B3702" w:rsidP="001B3702">
      <w:pPr>
        <w:spacing w:after="0" w:line="240" w:lineRule="auto"/>
        <w:rPr>
          <w:rFonts w:cs="Arial"/>
          <w:b/>
          <w:u w:val="single"/>
        </w:rPr>
      </w:pPr>
    </w:p>
    <w:p w:rsidR="0067599E" w:rsidRPr="001B3702" w:rsidRDefault="0067599E" w:rsidP="001B3702">
      <w:pPr>
        <w:spacing w:after="0" w:line="240" w:lineRule="auto"/>
        <w:rPr>
          <w:rFonts w:cs="Arial"/>
          <w:b/>
          <w:u w:val="single"/>
        </w:rPr>
      </w:pPr>
    </w:p>
    <w:p w:rsidR="00BA5FF5" w:rsidRPr="00896F11" w:rsidRDefault="00BA5FF5" w:rsidP="00896F11">
      <w:pPr>
        <w:pStyle w:val="Paragraphedeliste"/>
        <w:numPr>
          <w:ilvl w:val="0"/>
          <w:numId w:val="2"/>
        </w:numPr>
        <w:spacing w:after="0" w:line="240" w:lineRule="auto"/>
        <w:jc w:val="both"/>
        <w:rPr>
          <w:rFonts w:eastAsia="Times New Roman" w:cs="Times New Roman"/>
          <w:b/>
          <w:u w:val="single"/>
        </w:rPr>
      </w:pPr>
      <w:r w:rsidRPr="00896F11">
        <w:rPr>
          <w:rFonts w:eastAsia="Calibri"/>
          <w:b/>
          <w:u w:val="single"/>
        </w:rPr>
        <w:t>S</w:t>
      </w:r>
      <w:r w:rsidR="00896F11" w:rsidRPr="00896F11">
        <w:rPr>
          <w:rFonts w:eastAsia="Calibri"/>
          <w:b/>
          <w:u w:val="single"/>
        </w:rPr>
        <w:t>ur la s</w:t>
      </w:r>
      <w:r w:rsidRPr="00896F11">
        <w:rPr>
          <w:rFonts w:eastAsia="Calibri"/>
          <w:b/>
          <w:u w:val="single"/>
        </w:rPr>
        <w:t xml:space="preserve">uppression de la clause de compétence générale </w:t>
      </w:r>
      <w:r w:rsidR="00896F11" w:rsidRPr="00896F11">
        <w:rPr>
          <w:rFonts w:eastAsia="Calibri"/>
          <w:b/>
          <w:u w:val="single"/>
        </w:rPr>
        <w:t xml:space="preserve">des régions </w:t>
      </w:r>
      <w:r w:rsidRPr="00896F11">
        <w:rPr>
          <w:rFonts w:eastAsia="Calibri"/>
          <w:b/>
          <w:u w:val="single"/>
        </w:rPr>
        <w:t xml:space="preserve">et </w:t>
      </w:r>
      <w:r w:rsidR="00896F11" w:rsidRPr="00896F11">
        <w:rPr>
          <w:rFonts w:eastAsia="Calibri"/>
          <w:b/>
          <w:u w:val="single"/>
        </w:rPr>
        <w:t xml:space="preserve">l’affirmation d’un </w:t>
      </w:r>
      <w:r w:rsidRPr="00896F11">
        <w:rPr>
          <w:rFonts w:eastAsia="Calibri"/>
          <w:b/>
          <w:u w:val="single"/>
        </w:rPr>
        <w:t xml:space="preserve">pouvoir réglementaire </w:t>
      </w:r>
      <w:r w:rsidR="00896F11" w:rsidRPr="00896F11">
        <w:rPr>
          <w:rFonts w:eastAsia="Calibri"/>
          <w:b/>
          <w:u w:val="single"/>
        </w:rPr>
        <w:t>régional</w:t>
      </w:r>
      <w:r w:rsidR="001B3702">
        <w:rPr>
          <w:rFonts w:eastAsia="Calibri"/>
          <w:b/>
          <w:u w:val="single"/>
        </w:rPr>
        <w:t xml:space="preserve"> (article 1</w:t>
      </w:r>
      <w:r w:rsidR="001B3702" w:rsidRPr="001B3702">
        <w:rPr>
          <w:rFonts w:eastAsia="Calibri"/>
          <w:b/>
          <w:u w:val="single"/>
          <w:vertAlign w:val="superscript"/>
        </w:rPr>
        <w:t>er</w:t>
      </w:r>
      <w:r w:rsidR="001B3702">
        <w:rPr>
          <w:rFonts w:eastAsia="Calibri"/>
          <w:b/>
          <w:u w:val="single"/>
        </w:rPr>
        <w:t>)</w:t>
      </w:r>
    </w:p>
    <w:p w:rsidR="00BA5FF5" w:rsidRPr="00896F11" w:rsidRDefault="00BA5FF5" w:rsidP="00896F11">
      <w:pPr>
        <w:spacing w:after="0" w:line="240" w:lineRule="auto"/>
        <w:jc w:val="both"/>
        <w:rPr>
          <w:rFonts w:eastAsia="Times New Roman" w:cs="Arial"/>
        </w:rPr>
      </w:pPr>
    </w:p>
    <w:p w:rsidR="00AB7B86" w:rsidRPr="00896F11" w:rsidRDefault="008F1755" w:rsidP="00896F11">
      <w:pPr>
        <w:spacing w:after="0" w:line="240" w:lineRule="auto"/>
        <w:jc w:val="both"/>
        <w:rPr>
          <w:rFonts w:eastAsia="Calibri"/>
        </w:rPr>
      </w:pPr>
      <w:r>
        <w:rPr>
          <w:rFonts w:eastAsia="Times New Roman" w:cs="Arial"/>
        </w:rPr>
        <w:sym w:font="Wingdings" w:char="F071"/>
      </w:r>
      <w:r>
        <w:rPr>
          <w:rFonts w:eastAsia="Times New Roman" w:cs="Arial"/>
        </w:rPr>
        <w:t xml:space="preserve"> </w:t>
      </w:r>
      <w:r w:rsidR="00BA5FF5" w:rsidRPr="00896F11">
        <w:rPr>
          <w:rFonts w:eastAsia="Times New Roman" w:cs="Arial"/>
        </w:rPr>
        <w:t>L'</w:t>
      </w:r>
      <w:r w:rsidR="00BA5FF5" w:rsidRPr="00896F11">
        <w:rPr>
          <w:rFonts w:eastAsia="Times New Roman" w:cs="Arial"/>
          <w:b/>
          <w:bCs/>
        </w:rPr>
        <w:t>article 1</w:t>
      </w:r>
      <w:r w:rsidR="00BA5FF5" w:rsidRPr="00896F11">
        <w:rPr>
          <w:rFonts w:eastAsia="Times New Roman" w:cs="Arial"/>
          <w:b/>
          <w:bCs/>
          <w:vertAlign w:val="superscript"/>
        </w:rPr>
        <w:t>er</w:t>
      </w:r>
      <w:r>
        <w:rPr>
          <w:rFonts w:eastAsia="Times New Roman" w:cs="Arial"/>
        </w:rPr>
        <w:t xml:space="preserve"> </w:t>
      </w:r>
      <w:r w:rsidRPr="00681A4B">
        <w:rPr>
          <w:rFonts w:eastAsia="Times New Roman" w:cs="Arial"/>
          <w:b/>
        </w:rPr>
        <w:t>supprime la clause de compétence générale des régions</w:t>
      </w:r>
      <w:r w:rsidR="00BA5FF5" w:rsidRPr="00896F11">
        <w:rPr>
          <w:rFonts w:eastAsia="Times New Roman" w:cs="Arial"/>
        </w:rPr>
        <w:t>, en garantissant toutefois la possibilité d'intervention en matière de logement et d'habitat, ainsi que dans les domaines</w:t>
      </w:r>
      <w:r w:rsidR="00AB7B86">
        <w:rPr>
          <w:rFonts w:eastAsia="Times New Roman" w:cs="Arial"/>
        </w:rPr>
        <w:t xml:space="preserve"> de la politique de la ville, </w:t>
      </w:r>
      <w:r w:rsidR="00BA5FF5" w:rsidRPr="00896F11">
        <w:rPr>
          <w:rFonts w:eastAsia="Times New Roman" w:cs="Arial"/>
        </w:rPr>
        <w:t xml:space="preserve">de la rénovation urbaine </w:t>
      </w:r>
      <w:r w:rsidR="00BA5FF5" w:rsidRPr="00896F11">
        <w:rPr>
          <w:rFonts w:eastAsia="Calibri"/>
        </w:rPr>
        <w:t xml:space="preserve">et du </w:t>
      </w:r>
      <w:r w:rsidR="00BA5FF5" w:rsidRPr="00896F11">
        <w:rPr>
          <w:rFonts w:eastAsia="Calibri"/>
          <w:b/>
        </w:rPr>
        <w:t>soutien aux politiques d’éducation</w:t>
      </w:r>
      <w:r w:rsidR="00BA5FF5" w:rsidRPr="00896F11">
        <w:rPr>
          <w:rFonts w:eastAsia="Calibri"/>
        </w:rPr>
        <w:t>.</w:t>
      </w:r>
    </w:p>
    <w:p w:rsidR="00BA5FF5" w:rsidRPr="00896F11" w:rsidRDefault="00BA5FF5" w:rsidP="00896F11">
      <w:pPr>
        <w:spacing w:after="0" w:line="240" w:lineRule="auto"/>
        <w:jc w:val="both"/>
        <w:rPr>
          <w:rFonts w:eastAsia="Calibri"/>
        </w:rPr>
      </w:pPr>
    </w:p>
    <w:p w:rsidR="00BA5FF5" w:rsidRPr="00896F11" w:rsidRDefault="008F1755" w:rsidP="00896F11">
      <w:pPr>
        <w:pStyle w:val="dmodeles-petite-loiconfectiontexteloitexte"/>
        <w:spacing w:before="0" w:beforeAutospacing="0" w:after="0" w:afterAutospacing="0"/>
        <w:jc w:val="both"/>
        <w:rPr>
          <w:rFonts w:asciiTheme="minorHAnsi" w:hAnsiTheme="minorHAnsi" w:cs="Arial"/>
          <w:sz w:val="22"/>
          <w:szCs w:val="22"/>
        </w:rPr>
      </w:pPr>
      <w:r>
        <w:rPr>
          <w:rFonts w:asciiTheme="minorHAnsi" w:hAnsiTheme="minorHAnsi" w:cs="Arial"/>
          <w:sz w:val="22"/>
          <w:szCs w:val="22"/>
        </w:rPr>
        <w:sym w:font="Wingdings" w:char="F071"/>
      </w:r>
      <w:r>
        <w:rPr>
          <w:rFonts w:asciiTheme="minorHAnsi" w:hAnsiTheme="minorHAnsi" w:cs="Arial"/>
          <w:sz w:val="22"/>
          <w:szCs w:val="22"/>
        </w:rPr>
        <w:t xml:space="preserve"> </w:t>
      </w:r>
      <w:r w:rsidR="00BA5FF5" w:rsidRPr="00896F11">
        <w:rPr>
          <w:rFonts w:asciiTheme="minorHAnsi" w:hAnsiTheme="minorHAnsi" w:cs="Arial"/>
          <w:sz w:val="22"/>
          <w:szCs w:val="22"/>
        </w:rPr>
        <w:t xml:space="preserve">La région se voit consacrer un </w:t>
      </w:r>
      <w:r w:rsidR="00BA5FF5" w:rsidRPr="00896F11">
        <w:rPr>
          <w:rFonts w:asciiTheme="minorHAnsi" w:hAnsiTheme="minorHAnsi" w:cs="Arial"/>
          <w:b/>
          <w:sz w:val="22"/>
          <w:szCs w:val="22"/>
        </w:rPr>
        <w:t>pouvoir réglementaire</w:t>
      </w:r>
      <w:r w:rsidR="00BA5FF5" w:rsidRPr="00896F11">
        <w:rPr>
          <w:rFonts w:asciiTheme="minorHAnsi" w:hAnsiTheme="minorHAnsi" w:cs="Arial"/>
          <w:sz w:val="22"/>
          <w:szCs w:val="22"/>
        </w:rPr>
        <w:t xml:space="preserve">. Ainsi, un conseil régional ou, par délibérations concordantes, plusieurs conseils régionaux pourront présenter des propositions tendant à modifier ou à adapter des dispositions législatives ou réglementaires en vigueur ou en cours d’élaboration concernant les compétences, l’organisation et le fonctionnement d’une, de plusieurs ou de l’ensemble des régions. </w:t>
      </w:r>
    </w:p>
    <w:p w:rsidR="00BA5FF5" w:rsidRPr="00896F11" w:rsidRDefault="00BA5FF5" w:rsidP="00896F11">
      <w:pPr>
        <w:pStyle w:val="dmodeles-petite-loiconfectiontexteloitexte"/>
        <w:spacing w:before="0" w:beforeAutospacing="0" w:after="0" w:afterAutospacing="0"/>
        <w:jc w:val="both"/>
        <w:rPr>
          <w:rFonts w:asciiTheme="minorHAnsi" w:hAnsiTheme="minorHAnsi" w:cs="Arial"/>
          <w:sz w:val="22"/>
          <w:szCs w:val="22"/>
        </w:rPr>
      </w:pPr>
      <w:r w:rsidRPr="00896F11">
        <w:rPr>
          <w:rFonts w:asciiTheme="minorHAnsi" w:hAnsiTheme="minorHAnsi" w:cs="Arial"/>
          <w:sz w:val="22"/>
          <w:szCs w:val="22"/>
        </w:rPr>
        <w:t>Les propositions adoptées par les conseils régionaux en application de l’avant-dernier alinéa seront transmises par les présidents de conseil régional au Premier ministre et au représentant de l’État dans les régions concernées.</w:t>
      </w:r>
    </w:p>
    <w:p w:rsidR="00BA5FF5" w:rsidRDefault="00BA5FF5" w:rsidP="00896F11">
      <w:pPr>
        <w:pStyle w:val="dmodeles-petite-loiconfectiontexteloitexte"/>
        <w:spacing w:before="0" w:beforeAutospacing="0" w:after="0" w:afterAutospacing="0"/>
        <w:jc w:val="both"/>
        <w:rPr>
          <w:rFonts w:asciiTheme="minorHAnsi" w:hAnsiTheme="minorHAnsi" w:cs="Arial"/>
          <w:sz w:val="22"/>
          <w:szCs w:val="22"/>
        </w:rPr>
      </w:pPr>
    </w:p>
    <w:p w:rsidR="00681A4B" w:rsidRPr="00896F11" w:rsidRDefault="00681A4B" w:rsidP="00896F11">
      <w:pPr>
        <w:pStyle w:val="dmodeles-petite-loiconfectiontexteloitexte"/>
        <w:spacing w:before="0" w:beforeAutospacing="0" w:after="0" w:afterAutospacing="0"/>
        <w:jc w:val="both"/>
        <w:rPr>
          <w:rFonts w:asciiTheme="minorHAnsi" w:hAnsiTheme="minorHAnsi" w:cs="Arial"/>
          <w:sz w:val="22"/>
          <w:szCs w:val="22"/>
        </w:rPr>
      </w:pPr>
    </w:p>
    <w:p w:rsidR="00BA5FF5" w:rsidRPr="00896F11" w:rsidRDefault="00BA5FF5" w:rsidP="00896F11">
      <w:pPr>
        <w:pStyle w:val="dmodeles-petite-loiconfectiontexteloitexte"/>
        <w:numPr>
          <w:ilvl w:val="0"/>
          <w:numId w:val="2"/>
        </w:numPr>
        <w:spacing w:before="0" w:beforeAutospacing="0" w:after="0" w:afterAutospacing="0"/>
        <w:jc w:val="both"/>
        <w:rPr>
          <w:rFonts w:asciiTheme="minorHAnsi" w:hAnsiTheme="minorHAnsi" w:cs="Arial"/>
          <w:b/>
          <w:sz w:val="22"/>
          <w:szCs w:val="22"/>
          <w:u w:val="single"/>
        </w:rPr>
      </w:pPr>
      <w:r w:rsidRPr="00896F11">
        <w:rPr>
          <w:rFonts w:asciiTheme="minorHAnsi" w:hAnsiTheme="minorHAnsi" w:cs="Arial"/>
          <w:b/>
          <w:sz w:val="22"/>
          <w:szCs w:val="22"/>
          <w:u w:val="single"/>
        </w:rPr>
        <w:t xml:space="preserve">Sur le schéma </w:t>
      </w:r>
      <w:r w:rsidRPr="00896F11">
        <w:rPr>
          <w:rFonts w:asciiTheme="minorHAnsi" w:eastAsiaTheme="minorHAnsi" w:hAnsiTheme="minorHAnsi"/>
          <w:b/>
          <w:noProof/>
          <w:sz w:val="22"/>
          <w:szCs w:val="22"/>
          <w:u w:val="single"/>
        </w:rPr>
        <w:t>régional de développement économique, d’innovation et d’internationalisation</w:t>
      </w:r>
      <w:r w:rsidR="001B3702">
        <w:rPr>
          <w:rFonts w:asciiTheme="minorHAnsi" w:eastAsiaTheme="minorHAnsi" w:hAnsiTheme="minorHAnsi"/>
          <w:b/>
          <w:noProof/>
          <w:sz w:val="22"/>
          <w:szCs w:val="22"/>
          <w:u w:val="single"/>
        </w:rPr>
        <w:t xml:space="preserve"> </w:t>
      </w:r>
      <w:r w:rsidR="00057A72">
        <w:rPr>
          <w:rFonts w:asciiTheme="minorHAnsi" w:eastAsiaTheme="minorHAnsi" w:hAnsiTheme="minorHAnsi"/>
          <w:b/>
          <w:noProof/>
          <w:sz w:val="22"/>
          <w:szCs w:val="22"/>
          <w:u w:val="single"/>
        </w:rPr>
        <w:t xml:space="preserve">– SRDEII </w:t>
      </w:r>
      <w:r w:rsidR="001B3702">
        <w:rPr>
          <w:rFonts w:asciiTheme="minorHAnsi" w:eastAsiaTheme="minorHAnsi" w:hAnsiTheme="minorHAnsi"/>
          <w:b/>
          <w:noProof/>
          <w:sz w:val="22"/>
          <w:szCs w:val="22"/>
          <w:u w:val="single"/>
        </w:rPr>
        <w:t>(article 2)</w:t>
      </w:r>
    </w:p>
    <w:p w:rsidR="00362832" w:rsidRPr="00896F11" w:rsidRDefault="00362832" w:rsidP="00896F11">
      <w:pPr>
        <w:pStyle w:val="dmodeles-petite-loiconfectiontexteloitexte"/>
        <w:spacing w:before="0" w:beforeAutospacing="0" w:after="0" w:afterAutospacing="0"/>
        <w:jc w:val="both"/>
        <w:rPr>
          <w:rFonts w:asciiTheme="minorHAnsi" w:eastAsiaTheme="minorHAnsi" w:hAnsiTheme="minorHAnsi"/>
          <w:noProof/>
          <w:sz w:val="22"/>
          <w:szCs w:val="22"/>
        </w:rPr>
      </w:pPr>
    </w:p>
    <w:p w:rsidR="009639B9" w:rsidRDefault="00362832" w:rsidP="00896F11">
      <w:pPr>
        <w:pStyle w:val="dmodeles-petite-loiconfectiontexteloitexte"/>
        <w:spacing w:before="0" w:beforeAutospacing="0" w:after="0" w:afterAutospacing="0"/>
        <w:jc w:val="both"/>
        <w:rPr>
          <w:rFonts w:asciiTheme="minorHAnsi" w:hAnsiTheme="minorHAnsi"/>
          <w:sz w:val="22"/>
          <w:szCs w:val="22"/>
        </w:rPr>
      </w:pPr>
      <w:r w:rsidRPr="00896F11">
        <w:rPr>
          <w:rFonts w:asciiTheme="minorHAnsi" w:hAnsiTheme="minorHAnsi"/>
          <w:sz w:val="22"/>
          <w:szCs w:val="22"/>
        </w:rPr>
        <w:t>La région élabore un schéma régional de développement économique, d’innovation et d’internationalisation.</w:t>
      </w:r>
      <w:r w:rsidR="00896F11">
        <w:rPr>
          <w:rFonts w:asciiTheme="minorHAnsi" w:hAnsiTheme="minorHAnsi"/>
          <w:sz w:val="22"/>
          <w:szCs w:val="22"/>
        </w:rPr>
        <w:t xml:space="preserve"> </w:t>
      </w:r>
    </w:p>
    <w:p w:rsidR="009639B9" w:rsidRDefault="009639B9" w:rsidP="00896F11">
      <w:pPr>
        <w:pStyle w:val="dmodeles-petite-loiconfectiontexteloitexte"/>
        <w:spacing w:before="0" w:beforeAutospacing="0" w:after="0" w:afterAutospacing="0"/>
        <w:jc w:val="both"/>
        <w:rPr>
          <w:rFonts w:asciiTheme="minorHAnsi" w:hAnsiTheme="minorHAnsi"/>
          <w:sz w:val="22"/>
          <w:szCs w:val="22"/>
        </w:rPr>
      </w:pPr>
    </w:p>
    <w:p w:rsidR="009639B9" w:rsidRPr="00851D6F" w:rsidRDefault="009639B9" w:rsidP="009639B9">
      <w:pPr>
        <w:pStyle w:val="dmodeles-petite-loiconfectiontexteloitexte"/>
        <w:numPr>
          <w:ilvl w:val="0"/>
          <w:numId w:val="6"/>
        </w:numPr>
        <w:spacing w:before="0" w:beforeAutospacing="0" w:after="0" w:afterAutospacing="0"/>
        <w:jc w:val="both"/>
        <w:rPr>
          <w:rFonts w:asciiTheme="minorHAnsi" w:hAnsiTheme="minorHAnsi"/>
          <w:sz w:val="22"/>
          <w:szCs w:val="22"/>
          <w:u w:val="single"/>
        </w:rPr>
      </w:pPr>
      <w:r w:rsidRPr="00851D6F">
        <w:rPr>
          <w:rFonts w:asciiTheme="minorHAnsi" w:hAnsiTheme="minorHAnsi"/>
          <w:sz w:val="22"/>
          <w:szCs w:val="22"/>
          <w:u w:val="single"/>
        </w:rPr>
        <w:t>Objet du schéma</w:t>
      </w:r>
    </w:p>
    <w:p w:rsidR="009639B9" w:rsidRDefault="009639B9" w:rsidP="00896F11">
      <w:pPr>
        <w:pStyle w:val="dmodeles-petite-loiconfectiontexteloitexte"/>
        <w:spacing w:before="0" w:beforeAutospacing="0" w:after="0" w:afterAutospacing="0"/>
        <w:jc w:val="both"/>
        <w:rPr>
          <w:rFonts w:asciiTheme="minorHAnsi" w:hAnsiTheme="minorHAnsi"/>
          <w:sz w:val="22"/>
          <w:szCs w:val="22"/>
        </w:rPr>
      </w:pPr>
    </w:p>
    <w:p w:rsidR="00896F11" w:rsidRPr="00896F11" w:rsidRDefault="00B75B9A" w:rsidP="00896F11">
      <w:pPr>
        <w:pStyle w:val="dmodeles-petite-loiconfectiontexteloitexte"/>
        <w:spacing w:before="0" w:beforeAutospacing="0" w:after="0" w:afterAutospacing="0"/>
        <w:jc w:val="both"/>
        <w:rPr>
          <w:rFonts w:asciiTheme="minorHAnsi" w:hAnsiTheme="minorHAnsi"/>
          <w:sz w:val="22"/>
          <w:szCs w:val="22"/>
        </w:rPr>
      </w:pPr>
      <w:r>
        <w:rPr>
          <w:rFonts w:asciiTheme="minorHAnsi" w:eastAsia="Calibri" w:hAnsiTheme="minorHAnsi"/>
          <w:sz w:val="22"/>
          <w:szCs w:val="22"/>
        </w:rPr>
        <w:sym w:font="Wingdings" w:char="F071"/>
      </w:r>
      <w:r>
        <w:rPr>
          <w:rFonts w:asciiTheme="minorHAnsi" w:eastAsia="Calibri" w:hAnsiTheme="minorHAnsi"/>
          <w:sz w:val="22"/>
          <w:szCs w:val="22"/>
        </w:rPr>
        <w:t xml:space="preserve"> </w:t>
      </w:r>
      <w:r w:rsidR="00896F11">
        <w:rPr>
          <w:rFonts w:asciiTheme="minorHAnsi" w:eastAsia="Calibri" w:hAnsiTheme="minorHAnsi"/>
          <w:sz w:val="22"/>
          <w:szCs w:val="22"/>
        </w:rPr>
        <w:t>C</w:t>
      </w:r>
      <w:r w:rsidR="00362832" w:rsidRPr="00896F11">
        <w:rPr>
          <w:rFonts w:asciiTheme="minorHAnsi" w:eastAsia="Calibri" w:hAnsiTheme="minorHAnsi"/>
          <w:sz w:val="22"/>
          <w:szCs w:val="22"/>
        </w:rPr>
        <w:t xml:space="preserve">e schéma </w:t>
      </w:r>
      <w:r w:rsidR="00896F11">
        <w:rPr>
          <w:rFonts w:asciiTheme="minorHAnsi" w:eastAsia="Calibri" w:hAnsiTheme="minorHAnsi"/>
          <w:sz w:val="22"/>
          <w:szCs w:val="22"/>
        </w:rPr>
        <w:t>devra :</w:t>
      </w:r>
    </w:p>
    <w:p w:rsidR="00896F11" w:rsidRDefault="00362832" w:rsidP="00896F11">
      <w:pPr>
        <w:pStyle w:val="dmodeles-petite-loiconfectiontexteloitexte"/>
        <w:numPr>
          <w:ilvl w:val="0"/>
          <w:numId w:val="5"/>
        </w:numPr>
        <w:spacing w:before="0" w:beforeAutospacing="0" w:after="0" w:afterAutospacing="0"/>
        <w:jc w:val="both"/>
        <w:rPr>
          <w:rFonts w:asciiTheme="minorHAnsi" w:eastAsia="Calibri" w:hAnsiTheme="minorHAnsi"/>
          <w:sz w:val="22"/>
          <w:szCs w:val="22"/>
        </w:rPr>
      </w:pPr>
      <w:r w:rsidRPr="00896F11">
        <w:rPr>
          <w:rFonts w:asciiTheme="minorHAnsi" w:eastAsia="Calibri" w:hAnsiTheme="minorHAnsi"/>
          <w:sz w:val="22"/>
          <w:szCs w:val="22"/>
        </w:rPr>
        <w:t>d</w:t>
      </w:r>
      <w:r w:rsidR="00896F11">
        <w:rPr>
          <w:rFonts w:asciiTheme="minorHAnsi" w:eastAsia="Calibri" w:hAnsiTheme="minorHAnsi"/>
          <w:sz w:val="22"/>
          <w:szCs w:val="22"/>
        </w:rPr>
        <w:t>éfinir</w:t>
      </w:r>
      <w:r w:rsidRPr="00896F11">
        <w:rPr>
          <w:rFonts w:asciiTheme="minorHAnsi" w:eastAsia="Calibri" w:hAnsiTheme="minorHAnsi"/>
          <w:sz w:val="22"/>
          <w:szCs w:val="22"/>
        </w:rPr>
        <w:t xml:space="preserve"> les orientations en matière d’aides aux entreprises, de soutien à l’internationalisation et d’aides à l’investissement immobilier et à l’innovation des entreprises</w:t>
      </w:r>
      <w:r w:rsidRPr="00896F11">
        <w:rPr>
          <w:rFonts w:asciiTheme="minorHAnsi" w:hAnsiTheme="minorHAnsi"/>
          <w:sz w:val="22"/>
          <w:szCs w:val="22"/>
        </w:rPr>
        <w:t>, ainsi que les orientations relatives à l’attractivité du territoire régional et à l’implantation d’entreprises</w:t>
      </w:r>
      <w:r w:rsidR="00681A4B">
        <w:rPr>
          <w:rFonts w:asciiTheme="minorHAnsi" w:eastAsia="Calibri" w:hAnsiTheme="minorHAnsi"/>
          <w:sz w:val="22"/>
          <w:szCs w:val="22"/>
        </w:rPr>
        <w:t> ;</w:t>
      </w:r>
    </w:p>
    <w:p w:rsidR="00362832" w:rsidRPr="00896F11" w:rsidRDefault="00362832" w:rsidP="00896F11">
      <w:pPr>
        <w:pStyle w:val="dmodeles-petite-loiconfectiontexteloitexte"/>
        <w:numPr>
          <w:ilvl w:val="0"/>
          <w:numId w:val="5"/>
        </w:numPr>
        <w:spacing w:before="0" w:beforeAutospacing="0" w:after="0" w:afterAutospacing="0"/>
        <w:jc w:val="both"/>
        <w:rPr>
          <w:rFonts w:asciiTheme="minorHAnsi" w:eastAsia="Calibri" w:hAnsiTheme="minorHAnsi"/>
          <w:sz w:val="22"/>
          <w:szCs w:val="22"/>
        </w:rPr>
      </w:pPr>
      <w:r w:rsidRPr="00896F11">
        <w:rPr>
          <w:rFonts w:asciiTheme="minorHAnsi" w:eastAsia="Calibri" w:hAnsiTheme="minorHAnsi"/>
          <w:sz w:val="22"/>
          <w:szCs w:val="22"/>
        </w:rPr>
        <w:t>précise</w:t>
      </w:r>
      <w:r w:rsidR="00896F11">
        <w:rPr>
          <w:rFonts w:asciiTheme="minorHAnsi" w:eastAsia="Calibri" w:hAnsiTheme="minorHAnsi"/>
          <w:sz w:val="22"/>
          <w:szCs w:val="22"/>
        </w:rPr>
        <w:t>r</w:t>
      </w:r>
      <w:r w:rsidRPr="00896F11">
        <w:rPr>
          <w:rFonts w:asciiTheme="minorHAnsi" w:eastAsia="Calibri" w:hAnsiTheme="minorHAnsi"/>
          <w:sz w:val="22"/>
          <w:szCs w:val="22"/>
        </w:rPr>
        <w:t xml:space="preserve"> les actions menées par la région en matière d’interventions économiques et d’aides aux entreprises et organise leur complémentarité avec les actions menées par les autres collectivités territoriales et leurs groupements</w:t>
      </w:r>
      <w:r w:rsidR="00681A4B">
        <w:rPr>
          <w:rFonts w:asciiTheme="minorHAnsi" w:eastAsia="Calibri" w:hAnsiTheme="minorHAnsi"/>
          <w:sz w:val="22"/>
          <w:szCs w:val="22"/>
        </w:rPr>
        <w:t> ;</w:t>
      </w:r>
    </w:p>
    <w:p w:rsidR="002B2428" w:rsidRDefault="00362832" w:rsidP="00896F11">
      <w:pPr>
        <w:pStyle w:val="dmodeles-petite-loiconfectiontexteloitexte"/>
        <w:numPr>
          <w:ilvl w:val="0"/>
          <w:numId w:val="5"/>
        </w:numPr>
        <w:spacing w:before="0" w:beforeAutospacing="0" w:after="0" w:afterAutospacing="0"/>
        <w:jc w:val="both"/>
        <w:rPr>
          <w:rFonts w:asciiTheme="minorHAnsi" w:hAnsiTheme="minorHAnsi"/>
          <w:sz w:val="22"/>
          <w:szCs w:val="22"/>
        </w:rPr>
      </w:pPr>
      <w:r w:rsidRPr="00896F11">
        <w:rPr>
          <w:rFonts w:asciiTheme="minorHAnsi" w:eastAsia="Calibri" w:hAnsiTheme="minorHAnsi"/>
          <w:sz w:val="22"/>
          <w:szCs w:val="22"/>
        </w:rPr>
        <w:lastRenderedPageBreak/>
        <w:t>veille</w:t>
      </w:r>
      <w:r w:rsidR="00896F11">
        <w:rPr>
          <w:rFonts w:asciiTheme="minorHAnsi" w:eastAsia="Calibri" w:hAnsiTheme="minorHAnsi"/>
          <w:sz w:val="22"/>
          <w:szCs w:val="22"/>
        </w:rPr>
        <w:t>r</w:t>
      </w:r>
      <w:r w:rsidRPr="00896F11">
        <w:rPr>
          <w:rFonts w:asciiTheme="minorHAnsi" w:eastAsia="Calibri" w:hAnsiTheme="minorHAnsi"/>
          <w:sz w:val="22"/>
          <w:szCs w:val="22"/>
        </w:rPr>
        <w:t xml:space="preserve"> à ce que ces actions </w:t>
      </w:r>
      <w:r w:rsidRPr="00896F11">
        <w:rPr>
          <w:rFonts w:asciiTheme="minorHAnsi" w:hAnsiTheme="minorHAnsi"/>
          <w:sz w:val="22"/>
          <w:szCs w:val="22"/>
        </w:rPr>
        <w:t>contribuent à un développement économique équilibré du territoire de la région et ne favorisent pas les</w:t>
      </w:r>
      <w:r w:rsidRPr="00896F11">
        <w:rPr>
          <w:rFonts w:asciiTheme="minorHAnsi" w:eastAsia="Calibri" w:hAnsiTheme="minorHAnsi"/>
          <w:sz w:val="22"/>
          <w:szCs w:val="22"/>
        </w:rPr>
        <w:t xml:space="preserve"> délocalisations d’activités économiques au sein de la région ou d’une région limitrophe</w:t>
      </w:r>
      <w:r w:rsidR="001D0B4D" w:rsidRPr="002B2428">
        <w:rPr>
          <w:rFonts w:asciiTheme="minorHAnsi" w:eastAsia="Calibri" w:hAnsiTheme="minorHAnsi"/>
          <w:sz w:val="22"/>
          <w:szCs w:val="22"/>
        </w:rPr>
        <w:t xml:space="preserve"> (</w:t>
      </w:r>
      <w:r w:rsidR="001D0B4D" w:rsidRPr="002B2428">
        <w:rPr>
          <w:rFonts w:asciiTheme="minorHAnsi" w:eastAsia="Calibri" w:hAnsiTheme="minorHAnsi"/>
          <w:b/>
          <w:sz w:val="22"/>
          <w:szCs w:val="22"/>
        </w:rPr>
        <w:t>amendement du Groupe communiste</w:t>
      </w:r>
      <w:r w:rsidR="001D0B4D" w:rsidRPr="002B2428">
        <w:rPr>
          <w:rFonts w:asciiTheme="minorHAnsi" w:eastAsia="Calibri" w:hAnsiTheme="minorHAnsi"/>
          <w:sz w:val="22"/>
          <w:szCs w:val="22"/>
        </w:rPr>
        <w:t>)</w:t>
      </w:r>
      <w:r w:rsidRPr="002B2428">
        <w:rPr>
          <w:rFonts w:asciiTheme="minorHAnsi" w:eastAsia="Calibri" w:hAnsiTheme="minorHAnsi"/>
          <w:sz w:val="22"/>
          <w:szCs w:val="22"/>
        </w:rPr>
        <w:t>.</w:t>
      </w:r>
      <w:r w:rsidR="00896F11" w:rsidRPr="002B2428">
        <w:rPr>
          <w:rFonts w:asciiTheme="minorHAnsi" w:hAnsiTheme="minorHAnsi"/>
          <w:sz w:val="22"/>
          <w:szCs w:val="22"/>
        </w:rPr>
        <w:t xml:space="preserve"> </w:t>
      </w:r>
    </w:p>
    <w:p w:rsidR="00362832" w:rsidRPr="002B2428" w:rsidRDefault="007E2863" w:rsidP="00896F11">
      <w:pPr>
        <w:pStyle w:val="dmodeles-petite-loiconfectiontexteloitexte"/>
        <w:numPr>
          <w:ilvl w:val="0"/>
          <w:numId w:val="5"/>
        </w:numPr>
        <w:spacing w:before="0" w:beforeAutospacing="0" w:after="0" w:afterAutospacing="0"/>
        <w:jc w:val="both"/>
        <w:rPr>
          <w:rFonts w:asciiTheme="minorHAnsi" w:hAnsiTheme="minorHAnsi"/>
          <w:sz w:val="22"/>
          <w:szCs w:val="22"/>
        </w:rPr>
      </w:pPr>
      <w:r>
        <w:rPr>
          <w:rFonts w:asciiTheme="minorHAnsi" w:eastAsia="Calibri" w:hAnsiTheme="minorHAnsi"/>
          <w:sz w:val="22"/>
          <w:szCs w:val="22"/>
        </w:rPr>
        <w:t>définir</w:t>
      </w:r>
      <w:r w:rsidR="00362832" w:rsidRPr="002B2428">
        <w:rPr>
          <w:rFonts w:asciiTheme="minorHAnsi" w:eastAsia="Calibri" w:hAnsiTheme="minorHAnsi"/>
          <w:sz w:val="22"/>
          <w:szCs w:val="22"/>
        </w:rPr>
        <w:t xml:space="preserve"> également les orientations en matière de développement de l’économie sociale et solidaire.</w:t>
      </w:r>
    </w:p>
    <w:p w:rsidR="00896F11" w:rsidRPr="00896F11" w:rsidRDefault="00896F11" w:rsidP="00896F11">
      <w:pPr>
        <w:pStyle w:val="dmodeles-petite-loiconfectiontexteloitexte"/>
        <w:spacing w:before="0" w:beforeAutospacing="0" w:after="0" w:afterAutospacing="0"/>
        <w:rPr>
          <w:rFonts w:asciiTheme="minorHAnsi" w:hAnsiTheme="minorHAnsi"/>
          <w:sz w:val="22"/>
          <w:szCs w:val="22"/>
        </w:rPr>
      </w:pPr>
    </w:p>
    <w:p w:rsidR="00896F11" w:rsidRPr="00851D6F" w:rsidRDefault="00896F11" w:rsidP="009639B9">
      <w:pPr>
        <w:pStyle w:val="dmodeles-petite-loiconfectiontexteloitexte"/>
        <w:numPr>
          <w:ilvl w:val="0"/>
          <w:numId w:val="6"/>
        </w:numPr>
        <w:spacing w:before="0" w:beforeAutospacing="0" w:after="0" w:afterAutospacing="0"/>
        <w:jc w:val="both"/>
        <w:rPr>
          <w:rFonts w:asciiTheme="minorHAnsi" w:eastAsia="Calibri" w:hAnsiTheme="minorHAnsi"/>
          <w:sz w:val="22"/>
          <w:szCs w:val="22"/>
          <w:u w:val="single"/>
        </w:rPr>
      </w:pPr>
      <w:r w:rsidRPr="00851D6F">
        <w:rPr>
          <w:rFonts w:asciiTheme="minorHAnsi" w:eastAsia="Calibri" w:hAnsiTheme="minorHAnsi"/>
          <w:sz w:val="22"/>
          <w:szCs w:val="22"/>
          <w:u w:val="single"/>
        </w:rPr>
        <w:t>Adoption et élaboration des SRDEI</w:t>
      </w:r>
    </w:p>
    <w:p w:rsidR="00896F11" w:rsidRDefault="00896F11" w:rsidP="00896F11">
      <w:pPr>
        <w:pStyle w:val="dmodeles-petite-loiconfectiontexteloitexte"/>
        <w:spacing w:before="0" w:beforeAutospacing="0" w:after="0" w:afterAutospacing="0"/>
        <w:jc w:val="both"/>
        <w:rPr>
          <w:rFonts w:asciiTheme="minorHAnsi" w:eastAsia="Calibri" w:hAnsiTheme="minorHAnsi"/>
          <w:i/>
          <w:sz w:val="22"/>
          <w:szCs w:val="22"/>
        </w:rPr>
      </w:pPr>
    </w:p>
    <w:p w:rsidR="00362832" w:rsidRPr="00896F11" w:rsidRDefault="00681A4B" w:rsidP="00896F11">
      <w:pPr>
        <w:pStyle w:val="dmodeles-petite-loiconfectiontexteloitexte"/>
        <w:spacing w:before="0" w:beforeAutospacing="0" w:after="0" w:afterAutospacing="0"/>
        <w:jc w:val="both"/>
        <w:rPr>
          <w:rFonts w:asciiTheme="minorHAnsi" w:hAnsiTheme="minorHAnsi"/>
          <w:sz w:val="22"/>
          <w:szCs w:val="22"/>
        </w:rPr>
      </w:pPr>
      <w:r>
        <w:rPr>
          <w:rFonts w:asciiTheme="minorHAnsi" w:hAnsiTheme="minorHAnsi"/>
          <w:sz w:val="22"/>
          <w:szCs w:val="22"/>
        </w:rPr>
        <w:sym w:font="Wingdings" w:char="F071"/>
      </w:r>
      <w:r>
        <w:rPr>
          <w:rFonts w:asciiTheme="minorHAnsi" w:hAnsiTheme="minorHAnsi"/>
          <w:sz w:val="22"/>
          <w:szCs w:val="22"/>
        </w:rPr>
        <w:t xml:space="preserve"> </w:t>
      </w:r>
      <w:r w:rsidR="00362832" w:rsidRPr="00896F11">
        <w:rPr>
          <w:rFonts w:asciiTheme="minorHAnsi" w:hAnsiTheme="minorHAnsi"/>
          <w:sz w:val="22"/>
          <w:szCs w:val="22"/>
        </w:rPr>
        <w:t xml:space="preserve">Le schéma est </w:t>
      </w:r>
      <w:r w:rsidR="00362832" w:rsidRPr="00057A72">
        <w:rPr>
          <w:rFonts w:asciiTheme="minorHAnsi" w:hAnsiTheme="minorHAnsi"/>
          <w:b/>
          <w:sz w:val="22"/>
          <w:szCs w:val="22"/>
        </w:rPr>
        <w:t>adopté par délibération du conseil régional dans l’année qui suit le renouvellement général des conseils régionaux</w:t>
      </w:r>
      <w:r w:rsidR="00362832" w:rsidRPr="00896F11">
        <w:rPr>
          <w:rFonts w:asciiTheme="minorHAnsi" w:hAnsiTheme="minorHAnsi"/>
          <w:sz w:val="22"/>
          <w:szCs w:val="22"/>
        </w:rPr>
        <w:t>.</w:t>
      </w:r>
      <w:r w:rsidR="00896F11">
        <w:rPr>
          <w:rFonts w:asciiTheme="minorHAnsi" w:hAnsiTheme="minorHAnsi"/>
          <w:sz w:val="22"/>
          <w:szCs w:val="22"/>
        </w:rPr>
        <w:t xml:space="preserve"> </w:t>
      </w:r>
      <w:r w:rsidR="00362832" w:rsidRPr="00896F11">
        <w:rPr>
          <w:rFonts w:asciiTheme="minorHAnsi" w:hAnsiTheme="minorHAnsi"/>
          <w:sz w:val="22"/>
          <w:szCs w:val="22"/>
        </w:rPr>
        <w:t xml:space="preserve">Le projet de schéma est élaboré par la région, à l’issue d’une concertation sur ses orientations au sein de la </w:t>
      </w:r>
      <w:r w:rsidR="00896F11">
        <w:rPr>
          <w:rFonts w:asciiTheme="minorHAnsi" w:hAnsiTheme="minorHAnsi"/>
          <w:sz w:val="22"/>
          <w:szCs w:val="22"/>
        </w:rPr>
        <w:t>CTAP</w:t>
      </w:r>
      <w:r w:rsidR="00362832" w:rsidRPr="00896F11">
        <w:rPr>
          <w:rFonts w:asciiTheme="minorHAnsi" w:hAnsiTheme="minorHAnsi"/>
          <w:sz w:val="22"/>
          <w:szCs w:val="22"/>
        </w:rPr>
        <w:t>.</w:t>
      </w:r>
    </w:p>
    <w:p w:rsidR="00896F11" w:rsidRDefault="00896F11" w:rsidP="00896F11">
      <w:pPr>
        <w:pStyle w:val="dmodeles-petite-loiconfectiontexteloitexte"/>
        <w:spacing w:before="0" w:beforeAutospacing="0" w:after="0" w:afterAutospacing="0"/>
        <w:rPr>
          <w:rFonts w:asciiTheme="minorHAnsi" w:hAnsiTheme="minorHAnsi"/>
          <w:sz w:val="22"/>
          <w:szCs w:val="22"/>
        </w:rPr>
      </w:pPr>
    </w:p>
    <w:p w:rsidR="00362832" w:rsidRPr="00896F11" w:rsidRDefault="00681A4B" w:rsidP="00896F11">
      <w:pPr>
        <w:pStyle w:val="dmodeles-petite-loiconfectiontexteloitexte"/>
        <w:spacing w:before="0" w:beforeAutospacing="0" w:after="0" w:afterAutospacing="0"/>
        <w:rPr>
          <w:rFonts w:asciiTheme="minorHAnsi" w:hAnsiTheme="minorHAnsi"/>
          <w:sz w:val="22"/>
          <w:szCs w:val="22"/>
        </w:rPr>
      </w:pPr>
      <w:r>
        <w:rPr>
          <w:rFonts w:asciiTheme="minorHAnsi" w:hAnsiTheme="minorHAnsi"/>
          <w:sz w:val="22"/>
          <w:szCs w:val="22"/>
        </w:rPr>
        <w:sym w:font="Wingdings" w:char="F071"/>
      </w:r>
      <w:r>
        <w:rPr>
          <w:rFonts w:asciiTheme="minorHAnsi" w:hAnsiTheme="minorHAnsi"/>
          <w:sz w:val="22"/>
          <w:szCs w:val="22"/>
        </w:rPr>
        <w:t xml:space="preserve"> </w:t>
      </w:r>
      <w:r w:rsidR="00362832" w:rsidRPr="00896F11">
        <w:rPr>
          <w:rFonts w:asciiTheme="minorHAnsi" w:hAnsiTheme="minorHAnsi"/>
          <w:sz w:val="22"/>
          <w:szCs w:val="22"/>
        </w:rPr>
        <w:t>Participent à l’élaboration du projet de schéma :</w:t>
      </w:r>
    </w:p>
    <w:p w:rsidR="00362832" w:rsidRPr="00896F11" w:rsidRDefault="00362832" w:rsidP="00896F11">
      <w:pPr>
        <w:pStyle w:val="dmodeles-petite-loiconfectiontexteloitexte"/>
        <w:numPr>
          <w:ilvl w:val="0"/>
          <w:numId w:val="3"/>
        </w:numPr>
        <w:spacing w:before="0" w:beforeAutospacing="0" w:after="0" w:afterAutospacing="0"/>
        <w:rPr>
          <w:rFonts w:asciiTheme="minorHAnsi" w:hAnsiTheme="minorHAnsi"/>
          <w:sz w:val="22"/>
          <w:szCs w:val="22"/>
        </w:rPr>
      </w:pPr>
      <w:r w:rsidRPr="00896F11">
        <w:rPr>
          <w:rFonts w:asciiTheme="minorHAnsi" w:hAnsiTheme="minorHAnsi"/>
          <w:sz w:val="22"/>
          <w:szCs w:val="22"/>
        </w:rPr>
        <w:t xml:space="preserve">Les </w:t>
      </w:r>
      <w:r w:rsidR="00896F11">
        <w:rPr>
          <w:rFonts w:asciiTheme="minorHAnsi" w:hAnsiTheme="minorHAnsi"/>
          <w:sz w:val="22"/>
          <w:szCs w:val="22"/>
        </w:rPr>
        <w:t>EPCI</w:t>
      </w:r>
      <w:r w:rsidRPr="00896F11">
        <w:rPr>
          <w:rFonts w:asciiTheme="minorHAnsi" w:hAnsiTheme="minorHAnsi"/>
          <w:sz w:val="22"/>
          <w:szCs w:val="22"/>
        </w:rPr>
        <w:t xml:space="preserve"> à fiscalité propre ;</w:t>
      </w:r>
    </w:p>
    <w:p w:rsidR="00362832" w:rsidRPr="00896F11" w:rsidRDefault="00362832" w:rsidP="00896F11">
      <w:pPr>
        <w:pStyle w:val="dmodeles-petite-loiconfectiontexteloitexte"/>
        <w:numPr>
          <w:ilvl w:val="0"/>
          <w:numId w:val="3"/>
        </w:numPr>
        <w:spacing w:before="0" w:beforeAutospacing="0" w:after="0" w:afterAutospacing="0"/>
        <w:rPr>
          <w:rFonts w:asciiTheme="minorHAnsi" w:hAnsiTheme="minorHAnsi"/>
          <w:sz w:val="22"/>
          <w:szCs w:val="22"/>
        </w:rPr>
      </w:pPr>
      <w:r w:rsidRPr="00896F11">
        <w:rPr>
          <w:rFonts w:asciiTheme="minorHAnsi" w:hAnsiTheme="minorHAnsi"/>
          <w:sz w:val="22"/>
          <w:szCs w:val="22"/>
        </w:rPr>
        <w:t>Les chambres d’agriculture, les chambres de commerce et d’industrie, les chambres de métiers et de l’artisanat et la chambre régionale de l’économie sociale et solidaire ;</w:t>
      </w:r>
    </w:p>
    <w:p w:rsidR="00362832" w:rsidRPr="00896F11" w:rsidRDefault="00362832" w:rsidP="00896F11">
      <w:pPr>
        <w:pStyle w:val="dmodeles-petite-loiconfectiontexteloitexte"/>
        <w:numPr>
          <w:ilvl w:val="0"/>
          <w:numId w:val="3"/>
        </w:numPr>
        <w:spacing w:before="0" w:beforeAutospacing="0" w:after="0" w:afterAutospacing="0"/>
        <w:rPr>
          <w:rFonts w:asciiTheme="minorHAnsi" w:hAnsiTheme="minorHAnsi"/>
          <w:sz w:val="22"/>
          <w:szCs w:val="22"/>
        </w:rPr>
      </w:pPr>
      <w:r w:rsidRPr="00896F11">
        <w:rPr>
          <w:rFonts w:asciiTheme="minorHAnsi" w:hAnsiTheme="minorHAnsi"/>
          <w:sz w:val="22"/>
          <w:szCs w:val="22"/>
        </w:rPr>
        <w:t>Le conseil économique, social et environnemental régional.</w:t>
      </w:r>
    </w:p>
    <w:p w:rsidR="00896F11" w:rsidRDefault="00896F11" w:rsidP="00896F11">
      <w:pPr>
        <w:pStyle w:val="dmodeles-petite-loiconfectiontexteloitexte"/>
        <w:spacing w:before="0" w:beforeAutospacing="0" w:after="0" w:afterAutospacing="0"/>
        <w:jc w:val="both"/>
        <w:rPr>
          <w:rFonts w:asciiTheme="minorHAnsi" w:hAnsiTheme="minorHAnsi"/>
          <w:sz w:val="22"/>
          <w:szCs w:val="22"/>
        </w:rPr>
      </w:pPr>
    </w:p>
    <w:p w:rsidR="00362832" w:rsidRPr="00896F11" w:rsidRDefault="00681A4B" w:rsidP="00896F11">
      <w:pPr>
        <w:pStyle w:val="dmodeles-petite-loiconfectiontexteloitexte"/>
        <w:spacing w:before="0" w:beforeAutospacing="0" w:after="0" w:afterAutospacing="0"/>
        <w:jc w:val="both"/>
        <w:rPr>
          <w:rFonts w:asciiTheme="minorHAnsi" w:hAnsiTheme="minorHAnsi"/>
          <w:sz w:val="22"/>
          <w:szCs w:val="22"/>
        </w:rPr>
      </w:pPr>
      <w:r>
        <w:rPr>
          <w:rFonts w:asciiTheme="minorHAnsi" w:hAnsiTheme="minorHAnsi"/>
          <w:sz w:val="22"/>
          <w:szCs w:val="22"/>
        </w:rPr>
        <w:sym w:font="Wingdings" w:char="F071"/>
      </w:r>
      <w:r>
        <w:rPr>
          <w:rFonts w:asciiTheme="minorHAnsi" w:hAnsiTheme="minorHAnsi"/>
          <w:sz w:val="22"/>
          <w:szCs w:val="22"/>
        </w:rPr>
        <w:t xml:space="preserve"> </w:t>
      </w:r>
      <w:r w:rsidRPr="00896F11">
        <w:rPr>
          <w:rFonts w:asciiTheme="minorHAnsi" w:hAnsiTheme="minorHAnsi"/>
          <w:sz w:val="22"/>
          <w:szCs w:val="22"/>
        </w:rPr>
        <w:t xml:space="preserve">Le </w:t>
      </w:r>
      <w:r w:rsidR="00362832" w:rsidRPr="00896F11">
        <w:rPr>
          <w:rFonts w:asciiTheme="minorHAnsi" w:hAnsiTheme="minorHAnsi"/>
          <w:sz w:val="22"/>
          <w:szCs w:val="22"/>
        </w:rPr>
        <w:t>conseil régional peut consulter tout autre organisme ou pers</w:t>
      </w:r>
      <w:r w:rsidR="00896F11">
        <w:rPr>
          <w:rFonts w:asciiTheme="minorHAnsi" w:hAnsiTheme="minorHAnsi"/>
          <w:sz w:val="22"/>
          <w:szCs w:val="22"/>
        </w:rPr>
        <w:t xml:space="preserve">onne en vue de l’élaboration du </w:t>
      </w:r>
      <w:r w:rsidR="00362832" w:rsidRPr="00896F11">
        <w:rPr>
          <w:rFonts w:asciiTheme="minorHAnsi" w:hAnsiTheme="minorHAnsi"/>
          <w:sz w:val="22"/>
          <w:szCs w:val="22"/>
        </w:rPr>
        <w:t>projet de schéma. Il consulte les comités de massif compétents.</w:t>
      </w:r>
      <w:r w:rsidR="00896F11">
        <w:rPr>
          <w:rFonts w:asciiTheme="minorHAnsi" w:hAnsiTheme="minorHAnsi"/>
          <w:sz w:val="22"/>
          <w:szCs w:val="22"/>
        </w:rPr>
        <w:t xml:space="preserve"> </w:t>
      </w:r>
      <w:r w:rsidR="00362832" w:rsidRPr="00896F11">
        <w:rPr>
          <w:rFonts w:asciiTheme="minorHAnsi" w:hAnsiTheme="minorHAnsi"/>
          <w:sz w:val="22"/>
          <w:szCs w:val="22"/>
        </w:rPr>
        <w:t xml:space="preserve">Le projet de schéma arrêté par le conseil régional est soumis pour avis à la </w:t>
      </w:r>
      <w:r w:rsidR="007E2863">
        <w:rPr>
          <w:rFonts w:asciiTheme="minorHAnsi" w:hAnsiTheme="minorHAnsi"/>
          <w:sz w:val="22"/>
          <w:szCs w:val="22"/>
        </w:rPr>
        <w:t>CTAP</w:t>
      </w:r>
      <w:r w:rsidR="00362832" w:rsidRPr="00896F11">
        <w:rPr>
          <w:rFonts w:asciiTheme="minorHAnsi" w:hAnsiTheme="minorHAnsi"/>
          <w:sz w:val="22"/>
          <w:szCs w:val="22"/>
        </w:rPr>
        <w:t xml:space="preserve">. Il peut être modifié pour tenir compte des observations formulées. </w:t>
      </w:r>
    </w:p>
    <w:p w:rsidR="00362832" w:rsidRDefault="00362832" w:rsidP="00896F11">
      <w:pPr>
        <w:pStyle w:val="dmodeles-petite-loiconfectiontexteloitexte"/>
        <w:spacing w:before="0" w:beforeAutospacing="0" w:after="0" w:afterAutospacing="0"/>
        <w:jc w:val="both"/>
        <w:rPr>
          <w:rFonts w:asciiTheme="minorHAnsi" w:hAnsiTheme="minorHAnsi" w:cs="Arial"/>
          <w:sz w:val="22"/>
          <w:szCs w:val="22"/>
        </w:rPr>
      </w:pPr>
    </w:p>
    <w:p w:rsidR="00047050" w:rsidRPr="00851D6F" w:rsidRDefault="00047050" w:rsidP="00047050">
      <w:pPr>
        <w:pStyle w:val="dmodeles-petite-loiconfectiontexteloitexte"/>
        <w:numPr>
          <w:ilvl w:val="0"/>
          <w:numId w:val="6"/>
        </w:numPr>
        <w:spacing w:before="0" w:beforeAutospacing="0" w:after="0" w:afterAutospacing="0"/>
        <w:jc w:val="both"/>
        <w:rPr>
          <w:rFonts w:asciiTheme="minorHAnsi" w:hAnsiTheme="minorHAnsi" w:cs="Arial"/>
          <w:sz w:val="22"/>
          <w:szCs w:val="22"/>
          <w:u w:val="single"/>
        </w:rPr>
      </w:pPr>
      <w:r w:rsidRPr="00851D6F">
        <w:rPr>
          <w:rFonts w:asciiTheme="minorHAnsi" w:hAnsiTheme="minorHAnsi" w:cs="Arial"/>
          <w:sz w:val="22"/>
          <w:szCs w:val="22"/>
          <w:u w:val="single"/>
        </w:rPr>
        <w:t>Dispositions transitoires</w:t>
      </w:r>
    </w:p>
    <w:p w:rsidR="00047050" w:rsidRPr="00896F11" w:rsidRDefault="00047050" w:rsidP="00896F11">
      <w:pPr>
        <w:pStyle w:val="dmodeles-petite-loiconfectiontexteloitexte"/>
        <w:spacing w:before="0" w:beforeAutospacing="0" w:after="0" w:afterAutospacing="0"/>
        <w:jc w:val="both"/>
        <w:rPr>
          <w:rFonts w:asciiTheme="minorHAnsi" w:hAnsiTheme="minorHAnsi" w:cs="Arial"/>
          <w:sz w:val="22"/>
          <w:szCs w:val="22"/>
        </w:rPr>
      </w:pPr>
    </w:p>
    <w:p w:rsidR="00362832" w:rsidRPr="00896F11" w:rsidRDefault="00896F11" w:rsidP="00896F11">
      <w:pPr>
        <w:pStyle w:val="dmodeles-petite-loiconfectiontexteloitexte"/>
        <w:spacing w:before="0" w:beforeAutospacing="0" w:after="0" w:afterAutospacing="0"/>
        <w:jc w:val="both"/>
        <w:rPr>
          <w:rFonts w:asciiTheme="minorHAnsi" w:hAnsiTheme="minorHAnsi" w:cs="Arial"/>
          <w:sz w:val="22"/>
          <w:szCs w:val="22"/>
        </w:rPr>
      </w:pPr>
      <w:r>
        <w:rPr>
          <w:rFonts w:asciiTheme="minorHAnsi" w:hAnsiTheme="minorHAnsi" w:cs="Arial"/>
          <w:sz w:val="22"/>
          <w:szCs w:val="22"/>
        </w:rPr>
        <w:sym w:font="Wingdings" w:char="F071"/>
      </w:r>
      <w:r>
        <w:rPr>
          <w:rFonts w:asciiTheme="minorHAnsi" w:hAnsiTheme="minorHAnsi" w:cs="Arial"/>
          <w:sz w:val="22"/>
          <w:szCs w:val="22"/>
        </w:rPr>
        <w:t xml:space="preserve"> </w:t>
      </w:r>
      <w:r w:rsidR="00362832" w:rsidRPr="00896F11">
        <w:rPr>
          <w:rFonts w:asciiTheme="minorHAnsi" w:hAnsiTheme="minorHAnsi" w:cs="Arial"/>
          <w:sz w:val="22"/>
          <w:szCs w:val="22"/>
        </w:rPr>
        <w:t xml:space="preserve">Par l’adoption d’un amendement RDSE, </w:t>
      </w:r>
      <w:r w:rsidRPr="00896F11">
        <w:rPr>
          <w:rFonts w:asciiTheme="minorHAnsi" w:hAnsiTheme="minorHAnsi"/>
          <w:sz w:val="22"/>
          <w:szCs w:val="22"/>
        </w:rPr>
        <w:t xml:space="preserve">il a été précisé que le premier </w:t>
      </w:r>
      <w:r w:rsidR="00681A4B">
        <w:rPr>
          <w:rFonts w:asciiTheme="minorHAnsi" w:hAnsiTheme="minorHAnsi"/>
          <w:sz w:val="22"/>
          <w:szCs w:val="22"/>
        </w:rPr>
        <w:t>SRDE</w:t>
      </w:r>
      <w:r w:rsidR="0067599E">
        <w:rPr>
          <w:rFonts w:asciiTheme="minorHAnsi" w:hAnsiTheme="minorHAnsi"/>
          <w:sz w:val="22"/>
          <w:szCs w:val="22"/>
        </w:rPr>
        <w:t>I</w:t>
      </w:r>
      <w:r w:rsidR="00681A4B">
        <w:rPr>
          <w:rFonts w:asciiTheme="minorHAnsi" w:hAnsiTheme="minorHAnsi"/>
          <w:sz w:val="22"/>
          <w:szCs w:val="22"/>
        </w:rPr>
        <w:t>I</w:t>
      </w:r>
      <w:r w:rsidRPr="00896F11">
        <w:rPr>
          <w:rFonts w:asciiTheme="minorHAnsi" w:hAnsiTheme="minorHAnsi"/>
          <w:sz w:val="22"/>
          <w:szCs w:val="22"/>
        </w:rPr>
        <w:t xml:space="preserve"> est </w:t>
      </w:r>
      <w:r w:rsidRPr="00896F11">
        <w:rPr>
          <w:rFonts w:asciiTheme="minorHAnsi" w:hAnsiTheme="minorHAnsi"/>
          <w:b/>
          <w:sz w:val="22"/>
          <w:szCs w:val="22"/>
        </w:rPr>
        <w:t>adopté dans un délai de dix-huit mois à compter du prochain renouvellement général des conseils régionaux</w:t>
      </w:r>
      <w:r w:rsidRPr="00896F11">
        <w:rPr>
          <w:rFonts w:asciiTheme="minorHAnsi" w:hAnsiTheme="minorHAnsi"/>
          <w:sz w:val="22"/>
          <w:szCs w:val="22"/>
        </w:rPr>
        <w:t>.</w:t>
      </w:r>
    </w:p>
    <w:p w:rsidR="00BA5FF5" w:rsidRPr="00896F11" w:rsidRDefault="00BA5FF5" w:rsidP="00896F11">
      <w:pPr>
        <w:pStyle w:val="dmodeles-petite-loiconfectiontexteloitexte"/>
        <w:spacing w:before="0" w:beforeAutospacing="0" w:after="0" w:afterAutospacing="0"/>
        <w:jc w:val="both"/>
        <w:rPr>
          <w:rFonts w:asciiTheme="minorHAnsi" w:hAnsiTheme="minorHAnsi" w:cs="Arial"/>
          <w:sz w:val="22"/>
          <w:szCs w:val="22"/>
        </w:rPr>
      </w:pPr>
    </w:p>
    <w:p w:rsidR="00BA5FF5" w:rsidRPr="00F418BD" w:rsidRDefault="00F418BD" w:rsidP="00896F11">
      <w:pPr>
        <w:spacing w:after="0" w:line="240" w:lineRule="auto"/>
        <w:jc w:val="both"/>
        <w:rPr>
          <w:rFonts w:eastAsia="Times New Roman" w:cs="Arial"/>
          <w:b/>
          <w:u w:val="single"/>
        </w:rPr>
      </w:pPr>
      <w:r w:rsidRPr="009639B9">
        <w:rPr>
          <w:b/>
        </w:rPr>
        <w:sym w:font="Wingdings" w:char="F071"/>
      </w:r>
      <w:r w:rsidRPr="009639B9">
        <w:rPr>
          <w:b/>
        </w:rPr>
        <w:t xml:space="preserve"> </w:t>
      </w:r>
      <w:r w:rsidRPr="00F418BD">
        <w:rPr>
          <w:b/>
          <w:u w:val="single"/>
        </w:rPr>
        <w:t>L</w:t>
      </w:r>
      <w:r>
        <w:rPr>
          <w:b/>
          <w:u w:val="single"/>
        </w:rPr>
        <w:t>e Sénat a précisé que l</w:t>
      </w:r>
      <w:r w:rsidRPr="00F418BD">
        <w:rPr>
          <w:b/>
          <w:u w:val="single"/>
        </w:rPr>
        <w:t>es conseils départementaux renouvelés en mars 2015 peuvent poursuivre la mise en œuvre de leurs actions de développement économique, à l'exclusion de l'octroi des aides aux entreprises, jusqu'au 31 décembre 2016.</w:t>
      </w:r>
    </w:p>
    <w:p w:rsidR="00BA5FF5" w:rsidRDefault="00BA5FF5" w:rsidP="00896F11">
      <w:pPr>
        <w:spacing w:after="0" w:line="240" w:lineRule="auto"/>
        <w:jc w:val="both"/>
        <w:rPr>
          <w:rFonts w:eastAsia="Times New Roman" w:cs="Arial"/>
        </w:rPr>
      </w:pPr>
    </w:p>
    <w:p w:rsidR="00044373" w:rsidRDefault="00044373" w:rsidP="00044373">
      <w:pPr>
        <w:spacing w:after="0" w:line="240" w:lineRule="auto"/>
        <w:jc w:val="both"/>
        <w:rPr>
          <w:rFonts w:eastAsia="Times New Roman" w:cs="Arial"/>
        </w:rPr>
      </w:pPr>
    </w:p>
    <w:p w:rsidR="00044373" w:rsidRDefault="007B6759" w:rsidP="00044373">
      <w:pPr>
        <w:pStyle w:val="Paragraphedeliste"/>
        <w:numPr>
          <w:ilvl w:val="0"/>
          <w:numId w:val="9"/>
        </w:numPr>
        <w:spacing w:after="0" w:line="240" w:lineRule="auto"/>
        <w:jc w:val="both"/>
        <w:rPr>
          <w:rFonts w:eastAsia="Times New Roman" w:cs="Arial"/>
          <w:b/>
          <w:u w:val="single"/>
        </w:rPr>
      </w:pPr>
      <w:r>
        <w:rPr>
          <w:rFonts w:eastAsia="Times New Roman" w:cs="Arial"/>
          <w:b/>
          <w:u w:val="single"/>
        </w:rPr>
        <w:t>Sur les aides aux entreprises (a</w:t>
      </w:r>
      <w:r w:rsidR="00044373" w:rsidRPr="005102C2">
        <w:rPr>
          <w:rFonts w:eastAsia="Times New Roman" w:cs="Arial"/>
          <w:b/>
          <w:u w:val="single"/>
        </w:rPr>
        <w:t>rticle 3</w:t>
      </w:r>
      <w:r>
        <w:rPr>
          <w:rFonts w:eastAsia="Times New Roman" w:cs="Arial"/>
          <w:b/>
          <w:u w:val="single"/>
        </w:rPr>
        <w:t>)</w:t>
      </w:r>
    </w:p>
    <w:p w:rsidR="00401246" w:rsidRDefault="00401246" w:rsidP="00401246">
      <w:pPr>
        <w:spacing w:after="0" w:line="240" w:lineRule="auto"/>
        <w:jc w:val="both"/>
        <w:rPr>
          <w:rFonts w:eastAsia="Times New Roman" w:cs="Arial"/>
          <w:b/>
          <w:u w:val="single"/>
        </w:rPr>
      </w:pPr>
    </w:p>
    <w:p w:rsidR="007B6759" w:rsidRDefault="004032F6" w:rsidP="00401246">
      <w:pPr>
        <w:spacing w:after="0" w:line="240" w:lineRule="auto"/>
        <w:jc w:val="both"/>
      </w:pPr>
      <w:r>
        <w:sym w:font="Wingdings" w:char="F071"/>
      </w:r>
      <w:r>
        <w:t xml:space="preserve"> </w:t>
      </w:r>
      <w:r w:rsidR="007B6759">
        <w:t>Le Sénat a adopté l’</w:t>
      </w:r>
      <w:r w:rsidR="007B6759">
        <w:rPr>
          <w:u w:val="single"/>
        </w:rPr>
        <w:t>article 3</w:t>
      </w:r>
      <w:r w:rsidR="007B6759">
        <w:t xml:space="preserve"> qui renforce le rôle de la région et rationalise les interventions des divers niveaux de collectivités territoriales en matière d'</w:t>
      </w:r>
      <w:r w:rsidR="007B6759">
        <w:rPr>
          <w:rStyle w:val="lev"/>
        </w:rPr>
        <w:t>aides aux entreprises</w:t>
      </w:r>
      <w:r w:rsidR="007B6759">
        <w:t xml:space="preserve"> et </w:t>
      </w:r>
      <w:r w:rsidR="007B6759">
        <w:rPr>
          <w:rStyle w:val="lev"/>
        </w:rPr>
        <w:t>de soutien aux actions de développement économique</w:t>
      </w:r>
      <w:r w:rsidR="007B6759">
        <w:t xml:space="preserve">. </w:t>
      </w:r>
    </w:p>
    <w:p w:rsidR="007B6759" w:rsidRDefault="007B6759" w:rsidP="00401246">
      <w:pPr>
        <w:spacing w:after="0" w:line="240" w:lineRule="auto"/>
        <w:jc w:val="both"/>
      </w:pPr>
    </w:p>
    <w:p w:rsidR="00401246" w:rsidRDefault="007B6759" w:rsidP="00401246">
      <w:pPr>
        <w:spacing w:after="0" w:line="240" w:lineRule="auto"/>
        <w:jc w:val="both"/>
        <w:rPr>
          <w:rFonts w:eastAsia="Times New Roman" w:cs="Arial"/>
          <w:b/>
          <w:u w:val="single"/>
        </w:rPr>
      </w:pPr>
      <w:r>
        <w:t xml:space="preserve">En séance, les sénateurs ont adopté plusieurs amendements dont l'amendement </w:t>
      </w:r>
      <w:r w:rsidRPr="007B6759">
        <w:t>1027</w:t>
      </w:r>
      <w:r>
        <w:t xml:space="preserve"> des rapporteurs de la commission des lois pour une participation des </w:t>
      </w:r>
      <w:r>
        <w:rPr>
          <w:rStyle w:val="lev"/>
        </w:rPr>
        <w:t>métropoles</w:t>
      </w:r>
      <w:r>
        <w:t xml:space="preserve"> au </w:t>
      </w:r>
      <w:r>
        <w:rPr>
          <w:rStyle w:val="lev"/>
        </w:rPr>
        <w:t>pilotage des pôles de compétitivité</w:t>
      </w:r>
      <w:r>
        <w:t xml:space="preserve"> situés sur leur territoire.</w:t>
      </w:r>
    </w:p>
    <w:p w:rsidR="00401246" w:rsidRPr="00401246" w:rsidRDefault="00401246" w:rsidP="00401246">
      <w:pPr>
        <w:spacing w:after="0" w:line="240" w:lineRule="auto"/>
        <w:jc w:val="both"/>
        <w:rPr>
          <w:rFonts w:eastAsia="Times New Roman" w:cs="Arial"/>
          <w:b/>
          <w:u w:val="single"/>
        </w:rPr>
      </w:pPr>
    </w:p>
    <w:p w:rsidR="00044373" w:rsidRPr="005102C2" w:rsidRDefault="007B6759" w:rsidP="00044373">
      <w:pPr>
        <w:pStyle w:val="Paragraphedeliste"/>
        <w:numPr>
          <w:ilvl w:val="0"/>
          <w:numId w:val="9"/>
        </w:numPr>
        <w:spacing w:after="0" w:line="240" w:lineRule="auto"/>
        <w:jc w:val="both"/>
        <w:rPr>
          <w:rFonts w:eastAsia="Times New Roman" w:cs="Arial"/>
          <w:b/>
          <w:u w:val="single"/>
        </w:rPr>
      </w:pPr>
      <w:r>
        <w:rPr>
          <w:rFonts w:eastAsia="Times New Roman" w:cs="Arial"/>
          <w:b/>
          <w:u w:val="single"/>
        </w:rPr>
        <w:t>Sur le t</w:t>
      </w:r>
      <w:r w:rsidR="00044373" w:rsidRPr="005102C2">
        <w:rPr>
          <w:rFonts w:eastAsia="Times New Roman" w:cs="Arial"/>
          <w:b/>
          <w:u w:val="single"/>
        </w:rPr>
        <w:t>ransfert du Service public de l’emploi (Article 3 bis)</w:t>
      </w:r>
    </w:p>
    <w:p w:rsidR="00044373" w:rsidRDefault="00044373" w:rsidP="00044373">
      <w:pPr>
        <w:spacing w:after="0" w:line="240" w:lineRule="auto"/>
        <w:jc w:val="both"/>
        <w:rPr>
          <w:rFonts w:eastAsia="Calibri"/>
        </w:rPr>
      </w:pPr>
    </w:p>
    <w:p w:rsidR="008F1755" w:rsidRDefault="00B75B9A" w:rsidP="005102C2">
      <w:pPr>
        <w:spacing w:after="0" w:line="240" w:lineRule="auto"/>
        <w:jc w:val="both"/>
      </w:pPr>
      <w:r>
        <w:sym w:font="Wingdings" w:char="F071"/>
      </w:r>
      <w:r>
        <w:t xml:space="preserve"> </w:t>
      </w:r>
      <w:r w:rsidR="008F1755">
        <w:t xml:space="preserve">Dans </w:t>
      </w:r>
      <w:r w:rsidR="008F1755">
        <w:rPr>
          <w:rStyle w:val="lev"/>
        </w:rPr>
        <w:t>le champ de l’emploi et de la formation professionnelle</w:t>
      </w:r>
      <w:r w:rsidR="008F1755">
        <w:t xml:space="preserve">, </w:t>
      </w:r>
      <w:r w:rsidR="006C506B">
        <w:t>le Sénat</w:t>
      </w:r>
      <w:r w:rsidR="008F1755">
        <w:t xml:space="preserve"> a adopté </w:t>
      </w:r>
      <w:r w:rsidR="008F1755">
        <w:rPr>
          <w:rStyle w:val="lev"/>
        </w:rPr>
        <w:t xml:space="preserve">un </w:t>
      </w:r>
      <w:r w:rsidR="006C506B">
        <w:rPr>
          <w:rStyle w:val="lev"/>
        </w:rPr>
        <w:t>article</w:t>
      </w:r>
      <w:r w:rsidR="008F1755">
        <w:t xml:space="preserve"> qui </w:t>
      </w:r>
      <w:r w:rsidR="008F1755">
        <w:rPr>
          <w:rStyle w:val="lev"/>
        </w:rPr>
        <w:t>conforte les missions de Pôle emploi</w:t>
      </w:r>
      <w:r w:rsidR="008F1755">
        <w:t xml:space="preserve"> au niveau national et régional, tout en conférant </w:t>
      </w:r>
      <w:r w:rsidR="008F1755">
        <w:rPr>
          <w:rStyle w:val="lev"/>
        </w:rPr>
        <w:t>un rôle de chef de file aux régions</w:t>
      </w:r>
      <w:r w:rsidR="008F1755">
        <w:t xml:space="preserve"> en matière de coordination des acteurs de la politique de l’emploi.</w:t>
      </w:r>
    </w:p>
    <w:p w:rsidR="008F1755" w:rsidRDefault="008F1755" w:rsidP="005102C2">
      <w:pPr>
        <w:spacing w:after="0" w:line="240" w:lineRule="auto"/>
        <w:jc w:val="both"/>
        <w:rPr>
          <w:rFonts w:eastAsia="Calibri"/>
        </w:rPr>
      </w:pPr>
    </w:p>
    <w:p w:rsidR="00044373" w:rsidRDefault="00044373" w:rsidP="005102C2">
      <w:pPr>
        <w:spacing w:after="0" w:line="240" w:lineRule="auto"/>
        <w:jc w:val="both"/>
        <w:rPr>
          <w:rFonts w:eastAsia="Calibri"/>
        </w:rPr>
      </w:pPr>
      <w:r>
        <w:rPr>
          <w:rFonts w:eastAsia="Calibri"/>
        </w:rPr>
        <w:t>La région coordonne</w:t>
      </w:r>
      <w:r w:rsidR="006C506B">
        <w:rPr>
          <w:rFonts w:eastAsia="Calibri"/>
        </w:rPr>
        <w:t>ra</w:t>
      </w:r>
      <w:r>
        <w:rPr>
          <w:rFonts w:eastAsia="Calibri"/>
        </w:rPr>
        <w:t>, sur son territoire, les actions des intervenants du service public de l’emploi, sous réserve des missions incombant à l’État.</w:t>
      </w:r>
    </w:p>
    <w:p w:rsidR="00044373" w:rsidRPr="005102C2" w:rsidRDefault="00044373" w:rsidP="005102C2">
      <w:pPr>
        <w:spacing w:after="0" w:line="240" w:lineRule="auto"/>
        <w:jc w:val="both"/>
        <w:rPr>
          <w:rFonts w:eastAsia="Calibri"/>
        </w:rPr>
      </w:pPr>
    </w:p>
    <w:p w:rsidR="00A3753B" w:rsidRDefault="00044373" w:rsidP="00CE7AEF">
      <w:pPr>
        <w:pStyle w:val="dmodeles-petite-loiconfectiontexteloitexte"/>
        <w:spacing w:before="0" w:beforeAutospacing="0" w:after="0" w:afterAutospacing="0"/>
        <w:jc w:val="both"/>
        <w:rPr>
          <w:rFonts w:asciiTheme="minorHAnsi" w:eastAsia="Calibri" w:hAnsiTheme="minorHAnsi"/>
          <w:sz w:val="22"/>
          <w:szCs w:val="22"/>
        </w:rPr>
      </w:pPr>
      <w:r w:rsidRPr="005102C2">
        <w:rPr>
          <w:rFonts w:asciiTheme="minorHAnsi" w:eastAsia="Calibri" w:hAnsiTheme="minorHAnsi"/>
          <w:sz w:val="22"/>
          <w:szCs w:val="22"/>
        </w:rPr>
        <w:t xml:space="preserve">Le président du conseil régional signe avec le directeur régional de l’institution mentionnée à l’article L. 5312-1 et les représentants régionaux des missions locales mentionnées à l’article L. 5314-1 et des organismes spécialisés dans l’insertion professionnelle des personnes handicapées une </w:t>
      </w:r>
      <w:r w:rsidRPr="006C506B">
        <w:rPr>
          <w:rFonts w:asciiTheme="minorHAnsi" w:eastAsia="Calibri" w:hAnsiTheme="minorHAnsi"/>
          <w:b/>
          <w:sz w:val="22"/>
          <w:szCs w:val="22"/>
        </w:rPr>
        <w:t>convention régionale pluriannuelle de coordination de l’emploi, de l’orientation et de la formation</w:t>
      </w:r>
      <w:r w:rsidRPr="005102C2">
        <w:rPr>
          <w:rFonts w:asciiTheme="minorHAnsi" w:eastAsia="Calibri" w:hAnsiTheme="minorHAnsi"/>
          <w:sz w:val="22"/>
          <w:szCs w:val="22"/>
        </w:rPr>
        <w:t>.</w:t>
      </w:r>
      <w:r w:rsidR="006C506B">
        <w:rPr>
          <w:rFonts w:asciiTheme="minorHAnsi" w:hAnsiTheme="minorHAnsi"/>
          <w:sz w:val="22"/>
          <w:szCs w:val="22"/>
        </w:rPr>
        <w:t xml:space="preserve"> </w:t>
      </w:r>
      <w:r w:rsidRPr="005102C2">
        <w:rPr>
          <w:rFonts w:asciiTheme="minorHAnsi" w:eastAsia="Calibri" w:hAnsiTheme="minorHAnsi"/>
          <w:sz w:val="22"/>
          <w:szCs w:val="22"/>
        </w:rPr>
        <w:t>La mise en œuvre de la convention fait l’objet d’une présentation régulière par le directeur régional devant le bureau du comité</w:t>
      </w:r>
      <w:r w:rsidR="00A3753B">
        <w:rPr>
          <w:rFonts w:asciiTheme="minorHAnsi" w:eastAsia="Calibri" w:hAnsiTheme="minorHAnsi"/>
          <w:sz w:val="22"/>
          <w:szCs w:val="22"/>
        </w:rPr>
        <w:t>.</w:t>
      </w:r>
    </w:p>
    <w:p w:rsidR="00A3753B" w:rsidRPr="00A3753B" w:rsidRDefault="00A3753B" w:rsidP="00A3753B">
      <w:pPr>
        <w:pStyle w:val="align-justify"/>
        <w:jc w:val="both"/>
        <w:rPr>
          <w:rFonts w:asciiTheme="minorHAnsi" w:eastAsia="Calibri" w:hAnsiTheme="minorHAnsi"/>
          <w:sz w:val="22"/>
          <w:szCs w:val="22"/>
        </w:rPr>
      </w:pPr>
      <w:r w:rsidRPr="00A3753B">
        <w:rPr>
          <w:rFonts w:asciiTheme="minorHAnsi" w:eastAsia="Calibri" w:hAnsiTheme="minorHAnsi"/>
          <w:sz w:val="22"/>
          <w:szCs w:val="22"/>
        </w:rPr>
        <w:t xml:space="preserve">D’une part, Pôle emploi devra conclure des </w:t>
      </w:r>
      <w:r w:rsidRPr="00A3753B">
        <w:rPr>
          <w:rFonts w:asciiTheme="minorHAnsi" w:eastAsia="Calibri" w:hAnsiTheme="minorHAnsi"/>
          <w:b/>
          <w:bCs/>
          <w:sz w:val="22"/>
          <w:szCs w:val="22"/>
        </w:rPr>
        <w:t>conventions pluriannuelles de coopération</w:t>
      </w:r>
      <w:r w:rsidRPr="00A3753B">
        <w:rPr>
          <w:rFonts w:asciiTheme="minorHAnsi" w:eastAsia="Calibri" w:hAnsiTheme="minorHAnsi"/>
          <w:sz w:val="22"/>
          <w:szCs w:val="22"/>
        </w:rPr>
        <w:t xml:space="preserve"> avec l’ensemble des autres acteurs de la politique de l’emploi, puis présenter régulièrement des propositions visant notamment à réduire le nombre des intervenants. Les conseils régionaux seront dorénavant </w:t>
      </w:r>
      <w:r w:rsidRPr="00A3753B">
        <w:rPr>
          <w:rFonts w:asciiTheme="minorHAnsi" w:eastAsia="Calibri" w:hAnsiTheme="minorHAnsi"/>
          <w:b/>
          <w:bCs/>
          <w:sz w:val="22"/>
          <w:szCs w:val="22"/>
        </w:rPr>
        <w:t>consultés avant la conclusion de la convention nationale tripartite État-Pôle emploi-Unedic</w:t>
      </w:r>
      <w:r w:rsidRPr="00A3753B">
        <w:rPr>
          <w:rFonts w:asciiTheme="minorHAnsi" w:eastAsia="Calibri" w:hAnsiTheme="minorHAnsi"/>
          <w:sz w:val="22"/>
          <w:szCs w:val="22"/>
        </w:rPr>
        <w:t>, tandis que les régions bénéficieront d’</w:t>
      </w:r>
      <w:r w:rsidRPr="00A3753B">
        <w:rPr>
          <w:rFonts w:asciiTheme="minorHAnsi" w:eastAsia="Calibri" w:hAnsiTheme="minorHAnsi"/>
          <w:b/>
          <w:bCs/>
          <w:sz w:val="22"/>
          <w:szCs w:val="22"/>
        </w:rPr>
        <w:t>un</w:t>
      </w:r>
      <w:r w:rsidRPr="00A3753B">
        <w:rPr>
          <w:rFonts w:asciiTheme="minorHAnsi" w:eastAsia="Calibri" w:hAnsiTheme="minorHAnsi"/>
          <w:sz w:val="22"/>
          <w:szCs w:val="22"/>
        </w:rPr>
        <w:t xml:space="preserve"> </w:t>
      </w:r>
      <w:r w:rsidRPr="00A3753B">
        <w:rPr>
          <w:rFonts w:asciiTheme="minorHAnsi" w:eastAsia="Calibri" w:hAnsiTheme="minorHAnsi"/>
          <w:b/>
          <w:bCs/>
          <w:sz w:val="22"/>
          <w:szCs w:val="22"/>
        </w:rPr>
        <w:t>siège supplémentaire spécifique au conseil d’administration</w:t>
      </w:r>
      <w:r w:rsidRPr="00A3753B">
        <w:rPr>
          <w:rFonts w:asciiTheme="minorHAnsi" w:eastAsia="Calibri" w:hAnsiTheme="minorHAnsi"/>
          <w:sz w:val="22"/>
          <w:szCs w:val="22"/>
        </w:rPr>
        <w:t xml:space="preserve"> de l’opérateur public. Par ailleurs, Pôle emploi pourra désormais </w:t>
      </w:r>
      <w:r w:rsidRPr="00A3753B">
        <w:rPr>
          <w:rFonts w:asciiTheme="minorHAnsi" w:eastAsia="Calibri" w:hAnsiTheme="minorHAnsi"/>
          <w:b/>
          <w:bCs/>
          <w:sz w:val="22"/>
          <w:szCs w:val="22"/>
        </w:rPr>
        <w:t>acheter directement des formations collectives</w:t>
      </w:r>
      <w:r w:rsidRPr="00A3753B">
        <w:rPr>
          <w:rFonts w:asciiTheme="minorHAnsi" w:eastAsia="Calibri" w:hAnsiTheme="minorHAnsi"/>
          <w:sz w:val="22"/>
          <w:szCs w:val="22"/>
        </w:rPr>
        <w:t xml:space="preserve"> si elles présentent un intérêt national, ce qui permettra notamment de préserver certains centres de formation de rayonnement national de l’Association pour la formation professionnelle des adultes (Afpa) actuellement fragilisés. </w:t>
      </w:r>
    </w:p>
    <w:p w:rsidR="00A3753B" w:rsidRDefault="00A3753B" w:rsidP="00A3753B">
      <w:pPr>
        <w:pStyle w:val="align-justify"/>
        <w:jc w:val="both"/>
        <w:rPr>
          <w:rFonts w:asciiTheme="minorHAnsi" w:eastAsia="Calibri" w:hAnsiTheme="minorHAnsi"/>
          <w:sz w:val="22"/>
          <w:szCs w:val="22"/>
        </w:rPr>
      </w:pPr>
      <w:r w:rsidRPr="00A3753B">
        <w:rPr>
          <w:rFonts w:asciiTheme="minorHAnsi" w:eastAsia="Calibri" w:hAnsiTheme="minorHAnsi"/>
          <w:sz w:val="22"/>
          <w:szCs w:val="22"/>
        </w:rPr>
        <w:t xml:space="preserve">D’autre part, la région veillera à la </w:t>
      </w:r>
      <w:r w:rsidRPr="00A3753B">
        <w:rPr>
          <w:rFonts w:asciiTheme="minorHAnsi" w:eastAsia="Calibri" w:hAnsiTheme="minorHAnsi"/>
          <w:b/>
          <w:bCs/>
          <w:sz w:val="22"/>
          <w:szCs w:val="22"/>
        </w:rPr>
        <w:t>coordination des intervenants du service public de l’emploi</w:t>
      </w:r>
      <w:r w:rsidRPr="00A3753B">
        <w:rPr>
          <w:rFonts w:asciiTheme="minorHAnsi" w:eastAsia="Calibri" w:hAnsiTheme="minorHAnsi"/>
          <w:sz w:val="22"/>
          <w:szCs w:val="22"/>
        </w:rPr>
        <w:t xml:space="preserve"> sur son territoire. La présidence du </w:t>
      </w:r>
      <w:proofErr w:type="spellStart"/>
      <w:r w:rsidR="00634DEA">
        <w:rPr>
          <w:rFonts w:asciiTheme="minorHAnsi" w:eastAsia="Calibri" w:hAnsiTheme="minorHAnsi"/>
          <w:sz w:val="22"/>
          <w:szCs w:val="22"/>
        </w:rPr>
        <w:t>Crefop</w:t>
      </w:r>
      <w:proofErr w:type="spellEnd"/>
      <w:r w:rsidRPr="00A3753B">
        <w:rPr>
          <w:rFonts w:asciiTheme="minorHAnsi" w:eastAsia="Calibri" w:hAnsiTheme="minorHAnsi"/>
          <w:sz w:val="22"/>
          <w:szCs w:val="22"/>
        </w:rPr>
        <w:t xml:space="preserve"> sera en effet confiée uniquement au président de région, tandis que le directeur régional de Pôle emploi, dont la légitimité est renforcée, devra venir régulièrement devant le bureau du </w:t>
      </w:r>
      <w:proofErr w:type="spellStart"/>
      <w:r w:rsidRPr="00A3753B">
        <w:rPr>
          <w:rFonts w:asciiTheme="minorHAnsi" w:eastAsia="Calibri" w:hAnsiTheme="minorHAnsi"/>
          <w:sz w:val="22"/>
          <w:szCs w:val="22"/>
        </w:rPr>
        <w:t>Crefop</w:t>
      </w:r>
      <w:proofErr w:type="spellEnd"/>
      <w:r w:rsidRPr="00A3753B">
        <w:rPr>
          <w:rFonts w:asciiTheme="minorHAnsi" w:eastAsia="Calibri" w:hAnsiTheme="minorHAnsi"/>
          <w:sz w:val="22"/>
          <w:szCs w:val="22"/>
        </w:rPr>
        <w:t xml:space="preserve"> présenter l’état d’avancement de sa convention régionale. </w:t>
      </w:r>
    </w:p>
    <w:p w:rsidR="00A3753B" w:rsidRPr="00CE7AEF" w:rsidRDefault="00A3753B" w:rsidP="00CE7AEF">
      <w:pPr>
        <w:pStyle w:val="dmodeles-petite-loiconfectiontexteloitexte"/>
        <w:spacing w:before="0" w:beforeAutospacing="0" w:after="0" w:afterAutospacing="0"/>
        <w:jc w:val="both"/>
        <w:rPr>
          <w:rFonts w:asciiTheme="minorHAnsi" w:hAnsiTheme="minorHAnsi"/>
          <w:sz w:val="22"/>
          <w:szCs w:val="22"/>
        </w:rPr>
      </w:pPr>
    </w:p>
    <w:p w:rsidR="00044373" w:rsidRPr="005102C2" w:rsidRDefault="00044373" w:rsidP="005102C2">
      <w:pPr>
        <w:pStyle w:val="Paragraphedeliste"/>
        <w:numPr>
          <w:ilvl w:val="0"/>
          <w:numId w:val="9"/>
        </w:numPr>
        <w:spacing w:after="0" w:line="240" w:lineRule="auto"/>
        <w:jc w:val="both"/>
        <w:rPr>
          <w:rFonts w:eastAsia="Times New Roman" w:cs="Arial"/>
          <w:b/>
          <w:u w:val="single"/>
        </w:rPr>
      </w:pPr>
      <w:r w:rsidRPr="005102C2">
        <w:rPr>
          <w:rFonts w:eastAsia="Times New Roman" w:cs="Arial"/>
          <w:b/>
          <w:u w:val="single"/>
        </w:rPr>
        <w:t>S</w:t>
      </w:r>
      <w:r w:rsidR="005102C2">
        <w:rPr>
          <w:rFonts w:eastAsia="Times New Roman" w:cs="Arial"/>
          <w:b/>
          <w:u w:val="single"/>
        </w:rPr>
        <w:t>ur le s</w:t>
      </w:r>
      <w:r w:rsidRPr="005102C2">
        <w:rPr>
          <w:rFonts w:eastAsia="Times New Roman" w:cs="Arial"/>
          <w:b/>
          <w:u w:val="single"/>
        </w:rPr>
        <w:t>chéma de développement touristique</w:t>
      </w:r>
      <w:r w:rsidR="00634DEA">
        <w:rPr>
          <w:rFonts w:eastAsia="Times New Roman" w:cs="Arial"/>
          <w:b/>
          <w:u w:val="single"/>
        </w:rPr>
        <w:t xml:space="preserve"> </w:t>
      </w:r>
      <w:r w:rsidR="008F13CD">
        <w:rPr>
          <w:rFonts w:eastAsia="Times New Roman" w:cs="Arial"/>
          <w:b/>
          <w:u w:val="single"/>
        </w:rPr>
        <w:t xml:space="preserve">– SRDT </w:t>
      </w:r>
      <w:r w:rsidR="00634DEA">
        <w:rPr>
          <w:rFonts w:eastAsia="Times New Roman" w:cs="Arial"/>
          <w:b/>
          <w:u w:val="single"/>
        </w:rPr>
        <w:t>(article 4)</w:t>
      </w:r>
    </w:p>
    <w:p w:rsidR="00044373" w:rsidRPr="005102C2" w:rsidRDefault="00044373" w:rsidP="005102C2">
      <w:pPr>
        <w:spacing w:after="0" w:line="240" w:lineRule="auto"/>
        <w:jc w:val="both"/>
        <w:rPr>
          <w:rFonts w:eastAsia="Times New Roman" w:cs="Arial"/>
        </w:rPr>
      </w:pPr>
    </w:p>
    <w:p w:rsidR="00F57C55" w:rsidRDefault="00B75B9A" w:rsidP="005102C2">
      <w:pPr>
        <w:pStyle w:val="dmodeles-petite-loiconfectiontexteloitexte"/>
        <w:spacing w:before="0" w:beforeAutospacing="0" w:after="0" w:afterAutospacing="0"/>
        <w:jc w:val="both"/>
        <w:rPr>
          <w:rFonts w:asciiTheme="minorHAnsi" w:eastAsia="Calibri" w:hAnsiTheme="minorHAnsi"/>
          <w:sz w:val="22"/>
          <w:szCs w:val="22"/>
        </w:rPr>
      </w:pPr>
      <w:r>
        <w:rPr>
          <w:rFonts w:asciiTheme="minorHAnsi" w:eastAsia="Calibri" w:hAnsiTheme="minorHAnsi"/>
          <w:sz w:val="22"/>
          <w:szCs w:val="22"/>
        </w:rPr>
        <w:sym w:font="Wingdings" w:char="F071"/>
      </w:r>
      <w:r>
        <w:rPr>
          <w:rFonts w:asciiTheme="minorHAnsi" w:eastAsia="Calibri" w:hAnsiTheme="minorHAnsi"/>
          <w:sz w:val="22"/>
          <w:szCs w:val="22"/>
        </w:rPr>
        <w:t xml:space="preserve"> </w:t>
      </w:r>
      <w:r w:rsidR="00F57C55" w:rsidRPr="00F57C55">
        <w:rPr>
          <w:rFonts w:asciiTheme="minorHAnsi" w:eastAsia="Calibri" w:hAnsiTheme="minorHAnsi"/>
          <w:sz w:val="22"/>
          <w:szCs w:val="22"/>
        </w:rPr>
        <w:t xml:space="preserve">Le Sénat a adopté avec modifications l’article 4. En </w:t>
      </w:r>
      <w:r w:rsidR="00F57C55" w:rsidRPr="00F57C55">
        <w:rPr>
          <w:rFonts w:asciiTheme="minorHAnsi" w:eastAsia="Calibri" w:hAnsiTheme="minorHAnsi"/>
          <w:b/>
          <w:bCs/>
          <w:sz w:val="22"/>
          <w:szCs w:val="22"/>
        </w:rPr>
        <w:t>commission</w:t>
      </w:r>
      <w:r w:rsidR="00F57C55" w:rsidRPr="00F57C55">
        <w:rPr>
          <w:rFonts w:asciiTheme="minorHAnsi" w:eastAsia="Calibri" w:hAnsiTheme="minorHAnsi"/>
          <w:sz w:val="22"/>
          <w:szCs w:val="22"/>
        </w:rPr>
        <w:t>, le Sénat a s</w:t>
      </w:r>
      <w:r w:rsidR="00F57C55" w:rsidRPr="00F57C55">
        <w:rPr>
          <w:rFonts w:asciiTheme="minorHAnsi" w:eastAsia="Calibri" w:hAnsiTheme="minorHAnsi"/>
          <w:b/>
          <w:bCs/>
          <w:sz w:val="22"/>
          <w:szCs w:val="22"/>
        </w:rPr>
        <w:t>upprimé le rôle du chef de file que le texte du Gouvernement assignait à la région</w:t>
      </w:r>
      <w:r w:rsidR="00F57C55" w:rsidRPr="00F57C55">
        <w:rPr>
          <w:rFonts w:asciiTheme="minorHAnsi" w:eastAsia="Calibri" w:hAnsiTheme="minorHAnsi"/>
          <w:sz w:val="22"/>
          <w:szCs w:val="22"/>
        </w:rPr>
        <w:t xml:space="preserve">. En </w:t>
      </w:r>
      <w:r w:rsidR="00F57C55" w:rsidRPr="00F57C55">
        <w:rPr>
          <w:rFonts w:asciiTheme="minorHAnsi" w:eastAsia="Calibri" w:hAnsiTheme="minorHAnsi"/>
          <w:b/>
          <w:bCs/>
          <w:sz w:val="22"/>
          <w:szCs w:val="22"/>
        </w:rPr>
        <w:t>séance</w:t>
      </w:r>
      <w:r w:rsidR="00F57C55" w:rsidRPr="00F57C55">
        <w:rPr>
          <w:rFonts w:asciiTheme="minorHAnsi" w:eastAsia="Calibri" w:hAnsiTheme="minorHAnsi"/>
          <w:sz w:val="22"/>
          <w:szCs w:val="22"/>
        </w:rPr>
        <w:t>, les sénateurs ont adopté deux amendements dont l’</w:t>
      </w:r>
      <w:r w:rsidR="00634DEA">
        <w:rPr>
          <w:rFonts w:asciiTheme="minorHAnsi" w:eastAsia="Calibri" w:hAnsiTheme="minorHAnsi"/>
          <w:sz w:val="22"/>
          <w:szCs w:val="22"/>
        </w:rPr>
        <w:t>amendement 1084</w:t>
      </w:r>
      <w:r w:rsidR="00F57C55" w:rsidRPr="00F57C55">
        <w:rPr>
          <w:rFonts w:asciiTheme="minorHAnsi" w:eastAsia="Calibri" w:hAnsiTheme="minorHAnsi"/>
          <w:sz w:val="22"/>
          <w:szCs w:val="22"/>
        </w:rPr>
        <w:t xml:space="preserve"> au nom de la commission des lois</w:t>
      </w:r>
      <w:r w:rsidR="00634DEA">
        <w:rPr>
          <w:rFonts w:asciiTheme="minorHAnsi" w:eastAsia="Calibri" w:hAnsiTheme="minorHAnsi"/>
          <w:sz w:val="22"/>
          <w:szCs w:val="22"/>
        </w:rPr>
        <w:t>,</w:t>
      </w:r>
      <w:r w:rsidR="00F57C55" w:rsidRPr="00F57C55">
        <w:rPr>
          <w:rFonts w:asciiTheme="minorHAnsi" w:eastAsia="Calibri" w:hAnsiTheme="minorHAnsi"/>
          <w:sz w:val="22"/>
          <w:szCs w:val="22"/>
        </w:rPr>
        <w:t xml:space="preserve"> pour r</w:t>
      </w:r>
      <w:r w:rsidR="00F57C55" w:rsidRPr="00F57C55">
        <w:rPr>
          <w:rFonts w:asciiTheme="minorHAnsi" w:eastAsia="Calibri" w:hAnsiTheme="minorHAnsi"/>
          <w:b/>
          <w:bCs/>
          <w:sz w:val="22"/>
          <w:szCs w:val="22"/>
        </w:rPr>
        <w:t>enforcer le caractère conjoint de l’élaboration</w:t>
      </w:r>
      <w:r w:rsidR="00F57C55" w:rsidRPr="00F57C55">
        <w:rPr>
          <w:rFonts w:asciiTheme="minorHAnsi" w:eastAsia="Calibri" w:hAnsiTheme="minorHAnsi"/>
          <w:sz w:val="22"/>
          <w:szCs w:val="22"/>
        </w:rPr>
        <w:t xml:space="preserve"> du schéma régional de développement touristique par la </w:t>
      </w:r>
      <w:r w:rsidR="00F57C55" w:rsidRPr="00F57C55">
        <w:rPr>
          <w:rFonts w:asciiTheme="minorHAnsi" w:eastAsia="Calibri" w:hAnsiTheme="minorHAnsi"/>
          <w:b/>
          <w:bCs/>
          <w:sz w:val="22"/>
          <w:szCs w:val="22"/>
        </w:rPr>
        <w:t>région</w:t>
      </w:r>
      <w:r w:rsidR="00F57C55" w:rsidRPr="00F57C55">
        <w:rPr>
          <w:rFonts w:asciiTheme="minorHAnsi" w:eastAsia="Calibri" w:hAnsiTheme="minorHAnsi"/>
          <w:sz w:val="22"/>
          <w:szCs w:val="22"/>
        </w:rPr>
        <w:t xml:space="preserve">, les </w:t>
      </w:r>
      <w:r w:rsidR="00F57C55" w:rsidRPr="00F57C55">
        <w:rPr>
          <w:rFonts w:asciiTheme="minorHAnsi" w:eastAsia="Calibri" w:hAnsiTheme="minorHAnsi"/>
          <w:b/>
          <w:bCs/>
          <w:sz w:val="22"/>
          <w:szCs w:val="22"/>
        </w:rPr>
        <w:t>départements</w:t>
      </w:r>
      <w:r w:rsidR="00F57C55" w:rsidRPr="00F57C55">
        <w:rPr>
          <w:rFonts w:asciiTheme="minorHAnsi" w:eastAsia="Calibri" w:hAnsiTheme="minorHAnsi"/>
          <w:sz w:val="22"/>
          <w:szCs w:val="22"/>
        </w:rPr>
        <w:t xml:space="preserve">, les </w:t>
      </w:r>
      <w:r w:rsidR="00F57C55" w:rsidRPr="00F57C55">
        <w:rPr>
          <w:rFonts w:asciiTheme="minorHAnsi" w:eastAsia="Calibri" w:hAnsiTheme="minorHAnsi"/>
          <w:b/>
          <w:bCs/>
          <w:sz w:val="22"/>
          <w:szCs w:val="22"/>
        </w:rPr>
        <w:t>métropoles</w:t>
      </w:r>
      <w:r w:rsidR="00F57C55" w:rsidRPr="00F57C55">
        <w:rPr>
          <w:rFonts w:asciiTheme="minorHAnsi" w:eastAsia="Calibri" w:hAnsiTheme="minorHAnsi"/>
          <w:sz w:val="22"/>
          <w:szCs w:val="22"/>
        </w:rPr>
        <w:t xml:space="preserve">, les </w:t>
      </w:r>
      <w:r w:rsidR="00F57C55" w:rsidRPr="00F57C55">
        <w:rPr>
          <w:rFonts w:asciiTheme="minorHAnsi" w:eastAsia="Calibri" w:hAnsiTheme="minorHAnsi"/>
          <w:b/>
          <w:bCs/>
          <w:sz w:val="22"/>
          <w:szCs w:val="22"/>
        </w:rPr>
        <w:t xml:space="preserve">communes </w:t>
      </w:r>
      <w:r w:rsidR="00F57C55" w:rsidRPr="00F57C55">
        <w:rPr>
          <w:rFonts w:asciiTheme="minorHAnsi" w:eastAsia="Calibri" w:hAnsiTheme="minorHAnsi"/>
          <w:sz w:val="22"/>
          <w:szCs w:val="22"/>
        </w:rPr>
        <w:t xml:space="preserve">et leurs </w:t>
      </w:r>
      <w:r w:rsidR="00F57C55" w:rsidRPr="00F57C55">
        <w:rPr>
          <w:rFonts w:asciiTheme="minorHAnsi" w:eastAsia="Calibri" w:hAnsiTheme="minorHAnsi"/>
          <w:b/>
          <w:bCs/>
          <w:sz w:val="22"/>
          <w:szCs w:val="22"/>
        </w:rPr>
        <w:t>groupements</w:t>
      </w:r>
      <w:r w:rsidR="00F57C55">
        <w:rPr>
          <w:rFonts w:asciiTheme="minorHAnsi" w:eastAsia="Calibri" w:hAnsiTheme="minorHAnsi"/>
          <w:b/>
          <w:bCs/>
          <w:sz w:val="22"/>
          <w:szCs w:val="22"/>
        </w:rPr>
        <w:t>.</w:t>
      </w:r>
    </w:p>
    <w:p w:rsidR="00F57C55" w:rsidRDefault="00F57C55" w:rsidP="005102C2">
      <w:pPr>
        <w:pStyle w:val="dmodeles-petite-loiconfectiontexteloitexte"/>
        <w:spacing w:before="0" w:beforeAutospacing="0" w:after="0" w:afterAutospacing="0"/>
        <w:jc w:val="both"/>
        <w:rPr>
          <w:rFonts w:asciiTheme="minorHAnsi" w:eastAsia="Calibri" w:hAnsiTheme="minorHAnsi"/>
          <w:sz w:val="22"/>
          <w:szCs w:val="22"/>
        </w:rPr>
      </w:pPr>
    </w:p>
    <w:p w:rsidR="00F57C55" w:rsidRPr="00851D6F" w:rsidRDefault="00F57C55" w:rsidP="00F57C55">
      <w:pPr>
        <w:pStyle w:val="dmodeles-petite-loiconfectiontexteloitexte"/>
        <w:numPr>
          <w:ilvl w:val="0"/>
          <w:numId w:val="23"/>
        </w:numPr>
        <w:spacing w:before="0" w:beforeAutospacing="0" w:after="0" w:afterAutospacing="0"/>
        <w:jc w:val="both"/>
        <w:rPr>
          <w:rFonts w:asciiTheme="minorHAnsi" w:eastAsia="Calibri" w:hAnsiTheme="minorHAnsi"/>
          <w:sz w:val="22"/>
          <w:szCs w:val="22"/>
          <w:u w:val="single"/>
        </w:rPr>
      </w:pPr>
      <w:r w:rsidRPr="00851D6F">
        <w:rPr>
          <w:rFonts w:asciiTheme="minorHAnsi" w:eastAsia="Calibri" w:hAnsiTheme="minorHAnsi"/>
          <w:sz w:val="22"/>
          <w:szCs w:val="22"/>
          <w:u w:val="single"/>
        </w:rPr>
        <w:t>Mode d’élaboration</w:t>
      </w:r>
    </w:p>
    <w:p w:rsidR="00F57C55" w:rsidRDefault="00F57C55" w:rsidP="005102C2">
      <w:pPr>
        <w:pStyle w:val="dmodeles-petite-loiconfectiontexteloitexte"/>
        <w:spacing w:before="0" w:beforeAutospacing="0" w:after="0" w:afterAutospacing="0"/>
        <w:jc w:val="both"/>
        <w:rPr>
          <w:rFonts w:asciiTheme="minorHAnsi" w:eastAsia="Calibri" w:hAnsiTheme="minorHAnsi"/>
          <w:sz w:val="22"/>
          <w:szCs w:val="22"/>
        </w:rPr>
      </w:pPr>
    </w:p>
    <w:p w:rsidR="00044373" w:rsidRPr="005102C2" w:rsidRDefault="00B75B9A" w:rsidP="005102C2">
      <w:pPr>
        <w:pStyle w:val="dmodeles-petite-loiconfectiontexteloitexte"/>
        <w:spacing w:before="0" w:beforeAutospacing="0" w:after="0" w:afterAutospacing="0"/>
        <w:jc w:val="both"/>
        <w:rPr>
          <w:rFonts w:asciiTheme="minorHAnsi" w:hAnsiTheme="minorHAnsi"/>
          <w:sz w:val="22"/>
          <w:szCs w:val="22"/>
        </w:rPr>
      </w:pPr>
      <w:r>
        <w:rPr>
          <w:rFonts w:asciiTheme="minorHAnsi" w:eastAsia="Calibri" w:hAnsiTheme="minorHAnsi"/>
          <w:sz w:val="22"/>
          <w:szCs w:val="22"/>
        </w:rPr>
        <w:sym w:font="Wingdings" w:char="F071"/>
      </w:r>
      <w:r>
        <w:rPr>
          <w:rFonts w:asciiTheme="minorHAnsi" w:eastAsia="Calibri" w:hAnsiTheme="minorHAnsi"/>
          <w:sz w:val="22"/>
          <w:szCs w:val="22"/>
        </w:rPr>
        <w:t xml:space="preserve"> </w:t>
      </w:r>
      <w:r w:rsidR="00044373" w:rsidRPr="005102C2">
        <w:rPr>
          <w:rFonts w:asciiTheme="minorHAnsi" w:eastAsia="Calibri" w:hAnsiTheme="minorHAnsi"/>
          <w:sz w:val="22"/>
          <w:szCs w:val="22"/>
        </w:rPr>
        <w:t>Les collectivités territoriales et leurs groupements compétents sont associés à la mise en œuvre de la politique nationale du tourisme.</w:t>
      </w:r>
    </w:p>
    <w:p w:rsidR="005102C2" w:rsidRDefault="005102C2" w:rsidP="005102C2">
      <w:pPr>
        <w:pStyle w:val="dmodeles-petite-loiconfectiontexteloitexte"/>
        <w:spacing w:before="0" w:beforeAutospacing="0" w:after="0" w:afterAutospacing="0"/>
        <w:jc w:val="both"/>
        <w:rPr>
          <w:rFonts w:asciiTheme="minorHAnsi" w:hAnsiTheme="minorHAnsi"/>
          <w:sz w:val="22"/>
          <w:szCs w:val="22"/>
        </w:rPr>
      </w:pPr>
    </w:p>
    <w:p w:rsidR="00044373" w:rsidRPr="005102C2" w:rsidRDefault="00044373" w:rsidP="005102C2">
      <w:pPr>
        <w:pStyle w:val="dmodeles-petite-loiconfectiontexteloitexte"/>
        <w:spacing w:before="0" w:beforeAutospacing="0" w:after="0" w:afterAutospacing="0"/>
        <w:jc w:val="both"/>
        <w:rPr>
          <w:rFonts w:asciiTheme="minorHAnsi" w:hAnsiTheme="minorHAnsi"/>
          <w:sz w:val="22"/>
          <w:szCs w:val="22"/>
        </w:rPr>
      </w:pPr>
      <w:r w:rsidRPr="005102C2">
        <w:rPr>
          <w:rFonts w:asciiTheme="minorHAnsi" w:hAnsiTheme="minorHAnsi"/>
          <w:sz w:val="22"/>
          <w:szCs w:val="22"/>
        </w:rPr>
        <w:t xml:space="preserve">La région et les départements et collectivités territoriales à statut particulier situés sur son territoire </w:t>
      </w:r>
      <w:r w:rsidRPr="00F57C55">
        <w:rPr>
          <w:rFonts w:asciiTheme="minorHAnsi" w:hAnsiTheme="minorHAnsi"/>
          <w:b/>
          <w:sz w:val="22"/>
          <w:szCs w:val="22"/>
        </w:rPr>
        <w:t>élaborent et adoptent conjointement</w:t>
      </w:r>
      <w:r w:rsidRPr="005102C2">
        <w:rPr>
          <w:rFonts w:asciiTheme="minorHAnsi" w:hAnsiTheme="minorHAnsi"/>
          <w:sz w:val="22"/>
          <w:szCs w:val="22"/>
        </w:rPr>
        <w:t xml:space="preserve"> le </w:t>
      </w:r>
      <w:r w:rsidR="008F13CD">
        <w:rPr>
          <w:rFonts w:asciiTheme="minorHAnsi" w:hAnsiTheme="minorHAnsi"/>
          <w:sz w:val="22"/>
          <w:szCs w:val="22"/>
        </w:rPr>
        <w:t>SRDT</w:t>
      </w:r>
      <w:r w:rsidRPr="005102C2">
        <w:rPr>
          <w:rFonts w:asciiTheme="minorHAnsi" w:hAnsiTheme="minorHAnsi"/>
          <w:sz w:val="22"/>
          <w:szCs w:val="22"/>
        </w:rPr>
        <w:t>.</w:t>
      </w:r>
      <w:r w:rsidR="008F13CD">
        <w:rPr>
          <w:rFonts w:asciiTheme="minorHAnsi" w:hAnsiTheme="minorHAnsi"/>
          <w:sz w:val="22"/>
          <w:szCs w:val="22"/>
        </w:rPr>
        <w:t xml:space="preserve"> </w:t>
      </w:r>
      <w:r w:rsidRPr="005102C2">
        <w:rPr>
          <w:rFonts w:asciiTheme="minorHAnsi" w:hAnsiTheme="minorHAnsi"/>
          <w:sz w:val="22"/>
          <w:szCs w:val="22"/>
        </w:rPr>
        <w:t xml:space="preserve">Les communes et leurs groupements compétents situés sur le territoire de la région, notamment les stations touristiques, sont </w:t>
      </w:r>
      <w:proofErr w:type="gramStart"/>
      <w:r w:rsidRPr="005102C2">
        <w:rPr>
          <w:rFonts w:asciiTheme="minorHAnsi" w:hAnsiTheme="minorHAnsi"/>
          <w:sz w:val="22"/>
          <w:szCs w:val="22"/>
        </w:rPr>
        <w:t>associés</w:t>
      </w:r>
      <w:proofErr w:type="gramEnd"/>
      <w:r w:rsidRPr="005102C2">
        <w:rPr>
          <w:rFonts w:asciiTheme="minorHAnsi" w:hAnsiTheme="minorHAnsi"/>
          <w:sz w:val="22"/>
          <w:szCs w:val="22"/>
        </w:rPr>
        <w:t xml:space="preserve"> à l’élaboration d</w:t>
      </w:r>
      <w:r w:rsidR="008F13CD">
        <w:rPr>
          <w:rFonts w:asciiTheme="minorHAnsi" w:hAnsiTheme="minorHAnsi"/>
          <w:sz w:val="22"/>
          <w:szCs w:val="22"/>
        </w:rPr>
        <w:t>e ce</w:t>
      </w:r>
      <w:r w:rsidRPr="005102C2">
        <w:rPr>
          <w:rFonts w:asciiTheme="minorHAnsi" w:hAnsiTheme="minorHAnsi"/>
          <w:sz w:val="22"/>
          <w:szCs w:val="22"/>
        </w:rPr>
        <w:t xml:space="preserve"> schéma.</w:t>
      </w:r>
    </w:p>
    <w:p w:rsidR="00F57C55" w:rsidRDefault="00F57C55" w:rsidP="005102C2">
      <w:pPr>
        <w:pStyle w:val="dmodeles-petite-loiconfectiontexteloitexte"/>
        <w:spacing w:before="0" w:beforeAutospacing="0" w:after="0" w:afterAutospacing="0"/>
        <w:jc w:val="both"/>
        <w:rPr>
          <w:rFonts w:asciiTheme="minorHAnsi" w:hAnsiTheme="minorHAnsi"/>
          <w:sz w:val="22"/>
          <w:szCs w:val="22"/>
        </w:rPr>
      </w:pPr>
    </w:p>
    <w:p w:rsidR="00F57C55" w:rsidRPr="00851D6F" w:rsidRDefault="00F57C55" w:rsidP="00F57C55">
      <w:pPr>
        <w:pStyle w:val="dmodeles-petite-loiconfectiontexteloitexte"/>
        <w:numPr>
          <w:ilvl w:val="0"/>
          <w:numId w:val="23"/>
        </w:numPr>
        <w:spacing w:before="0" w:beforeAutospacing="0" w:after="0" w:afterAutospacing="0"/>
        <w:jc w:val="both"/>
        <w:rPr>
          <w:rFonts w:asciiTheme="minorHAnsi" w:hAnsiTheme="minorHAnsi"/>
          <w:sz w:val="22"/>
          <w:szCs w:val="22"/>
          <w:u w:val="single"/>
        </w:rPr>
      </w:pPr>
      <w:r w:rsidRPr="00851D6F">
        <w:rPr>
          <w:rFonts w:asciiTheme="minorHAnsi" w:hAnsiTheme="minorHAnsi"/>
          <w:sz w:val="22"/>
          <w:szCs w:val="22"/>
          <w:u w:val="single"/>
        </w:rPr>
        <w:t>Contenu</w:t>
      </w:r>
    </w:p>
    <w:p w:rsidR="00F57C55" w:rsidRDefault="00F57C55" w:rsidP="00F57C55">
      <w:pPr>
        <w:pStyle w:val="dmodeles-petite-loiconfectiontexteloitexte"/>
        <w:spacing w:before="0" w:beforeAutospacing="0" w:after="0" w:afterAutospacing="0"/>
        <w:jc w:val="both"/>
        <w:rPr>
          <w:rFonts w:asciiTheme="minorHAnsi" w:hAnsiTheme="minorHAnsi"/>
          <w:sz w:val="22"/>
          <w:szCs w:val="22"/>
        </w:rPr>
      </w:pPr>
    </w:p>
    <w:p w:rsidR="00044373" w:rsidRDefault="00044373" w:rsidP="005102C2">
      <w:pPr>
        <w:pStyle w:val="dmodeles-petite-loiconfectiontexteloitexte"/>
        <w:spacing w:before="0" w:beforeAutospacing="0" w:after="0" w:afterAutospacing="0"/>
        <w:jc w:val="both"/>
        <w:rPr>
          <w:rFonts w:asciiTheme="minorHAnsi" w:hAnsiTheme="minorHAnsi"/>
          <w:sz w:val="22"/>
          <w:szCs w:val="22"/>
        </w:rPr>
      </w:pPr>
      <w:r w:rsidRPr="005102C2">
        <w:rPr>
          <w:rFonts w:asciiTheme="minorHAnsi" w:hAnsiTheme="minorHAnsi"/>
          <w:sz w:val="22"/>
          <w:szCs w:val="22"/>
        </w:rPr>
        <w:t>Le schéma définit les orientations stratégiques d'aménagement, de développement et de promotion des destinations touristiques. Il précise les actions des collectivités territoriales ou de leurs groupements compétents en matière de promotion, d'investissement et d'aménagement touristiques. Il peut proposer la mutualisation ou la fusion d'organismes de tourisme de la région, des départements, des communes et de leurs groupements, ainsi que la mutualisation ou la fusion d'organismes de tourisme issus de régions différentes.</w:t>
      </w:r>
    </w:p>
    <w:p w:rsidR="00F57C55" w:rsidRDefault="00F57C55" w:rsidP="005102C2">
      <w:pPr>
        <w:pStyle w:val="dmodeles-petite-loiconfectiontexteloitexte"/>
        <w:spacing w:before="0" w:beforeAutospacing="0" w:after="0" w:afterAutospacing="0"/>
        <w:jc w:val="both"/>
        <w:rPr>
          <w:rFonts w:asciiTheme="minorHAnsi" w:hAnsiTheme="minorHAnsi"/>
          <w:sz w:val="22"/>
          <w:szCs w:val="22"/>
        </w:rPr>
      </w:pPr>
    </w:p>
    <w:p w:rsidR="0067599E" w:rsidRDefault="0067599E" w:rsidP="005102C2">
      <w:pPr>
        <w:pStyle w:val="dmodeles-petite-loiconfectiontexteloitexte"/>
        <w:spacing w:before="0" w:beforeAutospacing="0" w:after="0" w:afterAutospacing="0"/>
        <w:jc w:val="both"/>
        <w:rPr>
          <w:rFonts w:asciiTheme="minorHAnsi" w:hAnsiTheme="minorHAnsi"/>
          <w:sz w:val="22"/>
          <w:szCs w:val="22"/>
        </w:rPr>
      </w:pPr>
    </w:p>
    <w:p w:rsidR="00F57C55" w:rsidRPr="00851D6F" w:rsidRDefault="00F57C55" w:rsidP="00F57C55">
      <w:pPr>
        <w:pStyle w:val="dmodeles-petite-loiconfectiontexteloitexte"/>
        <w:numPr>
          <w:ilvl w:val="0"/>
          <w:numId w:val="23"/>
        </w:numPr>
        <w:spacing w:before="0" w:beforeAutospacing="0" w:after="0" w:afterAutospacing="0"/>
        <w:jc w:val="both"/>
        <w:rPr>
          <w:rFonts w:asciiTheme="minorHAnsi" w:hAnsiTheme="minorHAnsi"/>
          <w:sz w:val="22"/>
          <w:szCs w:val="22"/>
          <w:u w:val="single"/>
        </w:rPr>
      </w:pPr>
      <w:r w:rsidRPr="00851D6F">
        <w:rPr>
          <w:rFonts w:asciiTheme="minorHAnsi" w:hAnsiTheme="minorHAnsi"/>
          <w:sz w:val="22"/>
          <w:szCs w:val="22"/>
          <w:u w:val="single"/>
        </w:rPr>
        <w:lastRenderedPageBreak/>
        <w:t xml:space="preserve">Mise en </w:t>
      </w:r>
      <w:r w:rsidR="002E41E8" w:rsidRPr="00851D6F">
        <w:rPr>
          <w:rFonts w:asciiTheme="minorHAnsi" w:hAnsiTheme="minorHAnsi"/>
          <w:sz w:val="22"/>
          <w:szCs w:val="22"/>
          <w:u w:val="single"/>
        </w:rPr>
        <w:t>œuvre</w:t>
      </w:r>
    </w:p>
    <w:p w:rsidR="00F57C55" w:rsidRDefault="00F57C55" w:rsidP="005102C2">
      <w:pPr>
        <w:pStyle w:val="dmodeles-petite-loiconfectiontexteloitexte"/>
        <w:spacing w:before="0" w:beforeAutospacing="0" w:after="0" w:afterAutospacing="0"/>
        <w:jc w:val="both"/>
        <w:rPr>
          <w:rFonts w:asciiTheme="minorHAnsi" w:hAnsiTheme="minorHAnsi"/>
          <w:sz w:val="22"/>
          <w:szCs w:val="22"/>
        </w:rPr>
      </w:pPr>
    </w:p>
    <w:p w:rsidR="00044373" w:rsidRPr="005102C2" w:rsidRDefault="00044373" w:rsidP="005102C2">
      <w:pPr>
        <w:pStyle w:val="dmodeles-petite-loiconfectiontexteloitexte"/>
        <w:spacing w:before="0" w:beforeAutospacing="0" w:after="0" w:afterAutospacing="0"/>
        <w:jc w:val="both"/>
        <w:rPr>
          <w:rFonts w:asciiTheme="minorHAnsi" w:hAnsiTheme="minorHAnsi"/>
          <w:sz w:val="22"/>
          <w:szCs w:val="22"/>
        </w:rPr>
      </w:pPr>
      <w:r w:rsidRPr="005102C2">
        <w:rPr>
          <w:rFonts w:asciiTheme="minorHAnsi" w:hAnsiTheme="minorHAnsi"/>
          <w:sz w:val="22"/>
          <w:szCs w:val="22"/>
        </w:rPr>
        <w:t>Le schéma tient lieu de convention territoriale d’exercice concerté de la compétence en matière de tourisme. La région conclut des conventions avec les départements et collectivités territoriales à statut particulier situés sur son territoire afin d’assurer la mise en œuvre des orientations et des actions du schéma. </w:t>
      </w:r>
    </w:p>
    <w:p w:rsidR="005102C2" w:rsidRDefault="005102C2" w:rsidP="005102C2">
      <w:pPr>
        <w:pStyle w:val="dmodeles-petite-loiconfectiontexteloitexte"/>
        <w:spacing w:before="0" w:beforeAutospacing="0" w:after="0" w:afterAutospacing="0"/>
        <w:jc w:val="both"/>
        <w:rPr>
          <w:rFonts w:asciiTheme="minorHAnsi" w:eastAsia="Calibri" w:hAnsiTheme="minorHAnsi"/>
          <w:sz w:val="22"/>
          <w:szCs w:val="22"/>
        </w:rPr>
      </w:pPr>
    </w:p>
    <w:p w:rsidR="00044373" w:rsidRPr="005102C2" w:rsidRDefault="00044373" w:rsidP="005102C2">
      <w:pPr>
        <w:pStyle w:val="dmodeles-petite-loiconfectiontexteloitexte"/>
        <w:spacing w:before="0" w:beforeAutospacing="0" w:after="0" w:afterAutospacing="0"/>
        <w:jc w:val="both"/>
        <w:rPr>
          <w:rFonts w:asciiTheme="minorHAnsi" w:hAnsiTheme="minorHAnsi"/>
          <w:sz w:val="22"/>
          <w:szCs w:val="22"/>
        </w:rPr>
      </w:pPr>
      <w:r w:rsidRPr="005102C2">
        <w:rPr>
          <w:rFonts w:asciiTheme="minorHAnsi" w:eastAsia="Calibri" w:hAnsiTheme="minorHAnsi"/>
          <w:sz w:val="22"/>
          <w:szCs w:val="22"/>
        </w:rPr>
        <w:t xml:space="preserve">Le conseil régional peut créer un </w:t>
      </w:r>
      <w:r w:rsidRPr="005102C2">
        <w:rPr>
          <w:rFonts w:asciiTheme="minorHAnsi" w:eastAsia="Calibri" w:hAnsiTheme="minorHAnsi"/>
          <w:b/>
          <w:sz w:val="22"/>
          <w:szCs w:val="22"/>
          <w:u w:val="single"/>
        </w:rPr>
        <w:t>comité régional du tourisme</w:t>
      </w:r>
      <w:r w:rsidRPr="005102C2">
        <w:rPr>
          <w:rFonts w:asciiTheme="minorHAnsi" w:eastAsia="Calibri" w:hAnsiTheme="minorHAnsi"/>
          <w:sz w:val="22"/>
          <w:szCs w:val="22"/>
        </w:rPr>
        <w:t xml:space="preserve"> qui prépare et met en œuvre la politique touristique de la région.</w:t>
      </w:r>
      <w:r w:rsidR="00F57C55">
        <w:rPr>
          <w:rFonts w:asciiTheme="minorHAnsi" w:hAnsiTheme="minorHAnsi"/>
          <w:sz w:val="22"/>
          <w:szCs w:val="22"/>
        </w:rPr>
        <w:t xml:space="preserve"> </w:t>
      </w:r>
      <w:r w:rsidRPr="005102C2">
        <w:rPr>
          <w:rFonts w:asciiTheme="minorHAnsi" w:eastAsia="Calibri" w:hAnsiTheme="minorHAnsi"/>
          <w:sz w:val="22"/>
          <w:szCs w:val="22"/>
        </w:rPr>
        <w:t xml:space="preserve">Par délibérations concordantes de leurs organes délibérants, plusieurs régions peuvent s’associer pour conduire leurs actions touristiques au sein d’un </w:t>
      </w:r>
      <w:r w:rsidRPr="00F57C55">
        <w:rPr>
          <w:rFonts w:asciiTheme="minorHAnsi" w:eastAsia="Calibri" w:hAnsiTheme="minorHAnsi"/>
          <w:b/>
          <w:sz w:val="22"/>
          <w:szCs w:val="22"/>
        </w:rPr>
        <w:t>comité du tourisme commun</w:t>
      </w:r>
      <w:r w:rsidRPr="005102C2">
        <w:rPr>
          <w:rFonts w:asciiTheme="minorHAnsi" w:eastAsia="Calibri" w:hAnsiTheme="minorHAnsi"/>
          <w:sz w:val="22"/>
          <w:szCs w:val="22"/>
        </w:rPr>
        <w:t>. Dans ce cas, les conseils régionaux exercent conjointement les attributio</w:t>
      </w:r>
      <w:r w:rsidR="00F57C55">
        <w:rPr>
          <w:rFonts w:asciiTheme="minorHAnsi" w:eastAsia="Calibri" w:hAnsiTheme="minorHAnsi"/>
          <w:sz w:val="22"/>
          <w:szCs w:val="22"/>
        </w:rPr>
        <w:t>ns dévolues au conseil régional.</w:t>
      </w:r>
    </w:p>
    <w:p w:rsidR="008C048A" w:rsidRDefault="008C048A" w:rsidP="008C048A">
      <w:pPr>
        <w:pStyle w:val="dmodeles-petite-loiconfectiontexteloitexte"/>
        <w:spacing w:before="0" w:beforeAutospacing="0" w:after="0" w:afterAutospacing="0"/>
        <w:jc w:val="both"/>
        <w:rPr>
          <w:rFonts w:asciiTheme="minorHAnsi" w:hAnsiTheme="minorHAnsi"/>
          <w:sz w:val="22"/>
          <w:szCs w:val="22"/>
        </w:rPr>
      </w:pPr>
    </w:p>
    <w:p w:rsidR="008C048A" w:rsidRPr="008C048A" w:rsidRDefault="008C048A" w:rsidP="008C048A">
      <w:pPr>
        <w:pStyle w:val="dmodeles-petite-loiconfectiontexteloitexte"/>
        <w:spacing w:before="0" w:beforeAutospacing="0" w:after="0" w:afterAutospacing="0"/>
        <w:jc w:val="both"/>
        <w:rPr>
          <w:rFonts w:asciiTheme="minorHAnsi" w:hAnsiTheme="minorHAnsi"/>
          <w:sz w:val="22"/>
          <w:szCs w:val="22"/>
        </w:rPr>
      </w:pPr>
      <w:r w:rsidRPr="008C048A">
        <w:rPr>
          <w:rFonts w:asciiTheme="minorHAnsi" w:hAnsiTheme="minorHAnsi"/>
          <w:sz w:val="22"/>
          <w:szCs w:val="22"/>
        </w:rPr>
        <w:t xml:space="preserve">Dans chaque département, le conseil général est chargé, sur son territoire, d’assurer la mise en œuvre opérationnelle des orientations définies par le </w:t>
      </w:r>
      <w:r w:rsidR="00681A4B">
        <w:rPr>
          <w:rFonts w:asciiTheme="minorHAnsi" w:hAnsiTheme="minorHAnsi"/>
          <w:sz w:val="22"/>
          <w:szCs w:val="22"/>
        </w:rPr>
        <w:t>SRDT</w:t>
      </w:r>
      <w:r w:rsidRPr="008C048A">
        <w:rPr>
          <w:rFonts w:asciiTheme="minorHAnsi" w:hAnsiTheme="minorHAnsi"/>
          <w:sz w:val="22"/>
          <w:szCs w:val="22"/>
        </w:rPr>
        <w:t>, prévu à l’article L. 111</w:t>
      </w:r>
      <w:r w:rsidRPr="008C048A">
        <w:rPr>
          <w:rFonts w:asciiTheme="minorHAnsi" w:hAnsiTheme="minorHAnsi"/>
          <w:sz w:val="22"/>
          <w:szCs w:val="22"/>
        </w:rPr>
        <w:noBreakHyphen/>
        <w:t>2. Le comité départemental du tourisme, créé à l’initiative du conseil général, met en œuvre les objectifs et les modalités de mise en œuvre des conventions conclues entre le département et la région et fixés par le schéma régional mentionné à l’article L. 111</w:t>
      </w:r>
      <w:r w:rsidRPr="008C048A">
        <w:rPr>
          <w:rFonts w:asciiTheme="minorHAnsi" w:hAnsiTheme="minorHAnsi"/>
          <w:sz w:val="22"/>
          <w:szCs w:val="22"/>
        </w:rPr>
        <w:noBreakHyphen/>
        <w:t>2.</w:t>
      </w:r>
    </w:p>
    <w:p w:rsidR="00681A4B" w:rsidRDefault="00681A4B" w:rsidP="008C048A">
      <w:pPr>
        <w:pStyle w:val="dmodeles-petite-loiconfectiontexteloitexte"/>
        <w:spacing w:before="0" w:beforeAutospacing="0" w:after="0" w:afterAutospacing="0"/>
        <w:jc w:val="both"/>
        <w:rPr>
          <w:rFonts w:asciiTheme="minorHAnsi" w:hAnsiTheme="minorHAnsi"/>
          <w:sz w:val="22"/>
          <w:szCs w:val="22"/>
        </w:rPr>
      </w:pPr>
    </w:p>
    <w:p w:rsidR="008C048A" w:rsidRPr="00681A4B" w:rsidRDefault="008C048A" w:rsidP="008C048A">
      <w:pPr>
        <w:pStyle w:val="dmodeles-petite-loiconfectiontexteloitexte"/>
        <w:spacing w:before="0" w:beforeAutospacing="0" w:after="0" w:afterAutospacing="0"/>
        <w:jc w:val="both"/>
        <w:rPr>
          <w:rFonts w:asciiTheme="minorHAnsi" w:hAnsiTheme="minorHAnsi"/>
          <w:b/>
          <w:sz w:val="22"/>
          <w:szCs w:val="22"/>
        </w:rPr>
      </w:pPr>
      <w:r w:rsidRPr="00681A4B">
        <w:rPr>
          <w:rFonts w:asciiTheme="minorHAnsi" w:hAnsiTheme="minorHAnsi"/>
          <w:b/>
          <w:sz w:val="22"/>
          <w:szCs w:val="22"/>
        </w:rPr>
        <w:t>Plusieurs départements peuvent, par délibérations concordantes, mettre en place un comité de tourisme commun afin de conduire des actions touristiques communes. </w:t>
      </w:r>
    </w:p>
    <w:p w:rsidR="00044373" w:rsidRPr="0038431D" w:rsidRDefault="0038431D" w:rsidP="0038431D">
      <w:pPr>
        <w:pStyle w:val="dmodeles-petite-loiconfectiontexteloitexte"/>
        <w:numPr>
          <w:ilvl w:val="0"/>
          <w:numId w:val="9"/>
        </w:numPr>
        <w:rPr>
          <w:rFonts w:asciiTheme="minorHAnsi" w:hAnsiTheme="minorHAnsi"/>
          <w:b/>
          <w:sz w:val="22"/>
          <w:szCs w:val="22"/>
          <w:u w:val="single"/>
        </w:rPr>
      </w:pPr>
      <w:r w:rsidRPr="0038431D">
        <w:rPr>
          <w:rFonts w:asciiTheme="minorHAnsi" w:hAnsiTheme="minorHAnsi"/>
          <w:b/>
          <w:sz w:val="22"/>
          <w:szCs w:val="22"/>
          <w:u w:val="single"/>
        </w:rPr>
        <w:t>Sur le plan régional de prévention et de gestion des déchets</w:t>
      </w:r>
    </w:p>
    <w:p w:rsidR="0038431D" w:rsidRPr="0038431D" w:rsidRDefault="00B75B9A" w:rsidP="008F13CD">
      <w:pPr>
        <w:pStyle w:val="dmodeles-petite-loiconfectiontexteloitexte"/>
        <w:spacing w:before="0" w:beforeAutospacing="0" w:after="0" w:afterAutospacing="0"/>
        <w:rPr>
          <w:rFonts w:asciiTheme="minorHAnsi" w:hAnsiTheme="minorHAnsi"/>
          <w:sz w:val="22"/>
          <w:szCs w:val="22"/>
        </w:rPr>
      </w:pPr>
      <w:r>
        <w:rPr>
          <w:rFonts w:asciiTheme="minorHAnsi" w:hAnsiTheme="minorHAnsi"/>
          <w:sz w:val="22"/>
          <w:szCs w:val="22"/>
        </w:rPr>
        <w:sym w:font="Wingdings" w:char="F071"/>
      </w:r>
      <w:r>
        <w:rPr>
          <w:rFonts w:asciiTheme="minorHAnsi" w:hAnsiTheme="minorHAnsi"/>
          <w:sz w:val="22"/>
          <w:szCs w:val="22"/>
        </w:rPr>
        <w:t xml:space="preserve"> </w:t>
      </w:r>
      <w:r w:rsidR="0038431D" w:rsidRPr="0038431D">
        <w:rPr>
          <w:rFonts w:asciiTheme="minorHAnsi" w:hAnsiTheme="minorHAnsi"/>
          <w:sz w:val="22"/>
          <w:szCs w:val="22"/>
        </w:rPr>
        <w:t>Chaque région est couverte par un plan régional de prévention et de gestion des déchets.</w:t>
      </w:r>
    </w:p>
    <w:p w:rsidR="008F13CD" w:rsidRDefault="008F13CD" w:rsidP="008F13CD">
      <w:pPr>
        <w:pStyle w:val="dmodeles-petite-loiconfectiontexteloitexte"/>
        <w:spacing w:before="0" w:beforeAutospacing="0" w:after="0" w:afterAutospacing="0"/>
        <w:rPr>
          <w:rFonts w:asciiTheme="minorHAnsi" w:hAnsiTheme="minorHAnsi"/>
          <w:sz w:val="22"/>
          <w:szCs w:val="22"/>
        </w:rPr>
      </w:pPr>
    </w:p>
    <w:p w:rsidR="0038431D" w:rsidRPr="0038431D" w:rsidRDefault="00B75B9A" w:rsidP="008F13CD">
      <w:pPr>
        <w:pStyle w:val="dmodeles-petite-loiconfectiontexteloitexte"/>
        <w:spacing w:before="0" w:beforeAutospacing="0" w:after="0" w:afterAutospacing="0"/>
        <w:rPr>
          <w:rFonts w:asciiTheme="minorHAnsi" w:hAnsiTheme="minorHAnsi"/>
          <w:sz w:val="22"/>
          <w:szCs w:val="22"/>
        </w:rPr>
      </w:pPr>
      <w:r>
        <w:rPr>
          <w:rFonts w:asciiTheme="minorHAnsi" w:hAnsiTheme="minorHAnsi"/>
          <w:sz w:val="22"/>
          <w:szCs w:val="22"/>
        </w:rPr>
        <w:sym w:font="Wingdings" w:char="F071"/>
      </w:r>
      <w:r>
        <w:rPr>
          <w:rFonts w:asciiTheme="minorHAnsi" w:hAnsiTheme="minorHAnsi"/>
          <w:sz w:val="22"/>
          <w:szCs w:val="22"/>
        </w:rPr>
        <w:t xml:space="preserve"> </w:t>
      </w:r>
      <w:r w:rsidR="00E2063B">
        <w:rPr>
          <w:rFonts w:asciiTheme="minorHAnsi" w:hAnsiTheme="minorHAnsi"/>
          <w:sz w:val="22"/>
          <w:szCs w:val="22"/>
        </w:rPr>
        <w:t>C</w:t>
      </w:r>
      <w:r w:rsidR="0038431D" w:rsidRPr="0038431D">
        <w:rPr>
          <w:rFonts w:asciiTheme="minorHAnsi" w:hAnsiTheme="minorHAnsi"/>
          <w:sz w:val="22"/>
          <w:szCs w:val="22"/>
        </w:rPr>
        <w:t>e plan comprend :</w:t>
      </w:r>
    </w:p>
    <w:p w:rsidR="0038431D" w:rsidRPr="0038431D" w:rsidRDefault="0038431D" w:rsidP="008F13CD">
      <w:pPr>
        <w:pStyle w:val="dmodeles-petite-loiconfectiontexteloitexte"/>
        <w:numPr>
          <w:ilvl w:val="0"/>
          <w:numId w:val="11"/>
        </w:numPr>
        <w:spacing w:before="0" w:beforeAutospacing="0" w:after="0" w:afterAutospacing="0"/>
        <w:rPr>
          <w:rFonts w:asciiTheme="minorHAnsi" w:hAnsiTheme="minorHAnsi"/>
          <w:sz w:val="22"/>
          <w:szCs w:val="22"/>
        </w:rPr>
      </w:pPr>
      <w:r w:rsidRPr="0038431D">
        <w:rPr>
          <w:rFonts w:asciiTheme="minorHAnsi" w:hAnsiTheme="minorHAnsi"/>
          <w:sz w:val="22"/>
          <w:szCs w:val="22"/>
        </w:rPr>
        <w:t>Un état des lieux de la prévention et de la gestion des déchets selon leur origine, leur nature et leur composition ;</w:t>
      </w:r>
    </w:p>
    <w:p w:rsidR="0038431D" w:rsidRPr="0038431D" w:rsidRDefault="0038431D" w:rsidP="008F13CD">
      <w:pPr>
        <w:pStyle w:val="dmodeles-petite-loiconfectiontexteloitexte"/>
        <w:numPr>
          <w:ilvl w:val="0"/>
          <w:numId w:val="11"/>
        </w:numPr>
        <w:spacing w:before="0" w:beforeAutospacing="0" w:after="0" w:afterAutospacing="0"/>
        <w:rPr>
          <w:rFonts w:asciiTheme="minorHAnsi" w:hAnsiTheme="minorHAnsi"/>
          <w:sz w:val="22"/>
          <w:szCs w:val="22"/>
        </w:rPr>
      </w:pPr>
      <w:r w:rsidRPr="0038431D">
        <w:rPr>
          <w:rFonts w:asciiTheme="minorHAnsi" w:hAnsiTheme="minorHAnsi"/>
          <w:sz w:val="22"/>
          <w:szCs w:val="22"/>
        </w:rPr>
        <w:t>Une prospective à termes de six ans et de douze ans de l’évolution tendancielle des quantités de déchets à traiter ;</w:t>
      </w:r>
    </w:p>
    <w:p w:rsidR="0038431D" w:rsidRPr="0038431D" w:rsidRDefault="0038431D" w:rsidP="008F13CD">
      <w:pPr>
        <w:pStyle w:val="dmodeles-petite-loiconfectiontexteloitexte"/>
        <w:numPr>
          <w:ilvl w:val="0"/>
          <w:numId w:val="11"/>
        </w:numPr>
        <w:spacing w:before="0" w:beforeAutospacing="0" w:after="0" w:afterAutospacing="0"/>
        <w:rPr>
          <w:rFonts w:asciiTheme="minorHAnsi" w:hAnsiTheme="minorHAnsi"/>
          <w:sz w:val="22"/>
          <w:szCs w:val="22"/>
        </w:rPr>
      </w:pPr>
      <w:r w:rsidRPr="0038431D">
        <w:rPr>
          <w:rFonts w:asciiTheme="minorHAnsi" w:hAnsiTheme="minorHAnsi"/>
          <w:sz w:val="22"/>
          <w:szCs w:val="22"/>
        </w:rPr>
        <w:t>Des objectifs en matière de prévention, de recyclage et de valorisation des déchets, déclinant les objectifs nationaux de manière adaptée aux particularités territoriales ainsi que les priorités à retenir pour atteindre ces objectifs ;</w:t>
      </w:r>
    </w:p>
    <w:p w:rsidR="0038431D" w:rsidRPr="0038431D" w:rsidRDefault="0038431D" w:rsidP="008F13CD">
      <w:pPr>
        <w:pStyle w:val="dmodeles-petite-loiconfectiontexteloitexte"/>
        <w:numPr>
          <w:ilvl w:val="0"/>
          <w:numId w:val="11"/>
        </w:numPr>
        <w:spacing w:before="0" w:beforeAutospacing="0" w:after="0" w:afterAutospacing="0"/>
        <w:rPr>
          <w:rFonts w:asciiTheme="minorHAnsi" w:hAnsiTheme="minorHAnsi"/>
          <w:sz w:val="22"/>
          <w:szCs w:val="22"/>
        </w:rPr>
      </w:pPr>
      <w:r w:rsidRPr="0038431D">
        <w:rPr>
          <w:rFonts w:asciiTheme="minorHAnsi" w:hAnsiTheme="minorHAnsi"/>
          <w:sz w:val="22"/>
          <w:szCs w:val="22"/>
        </w:rPr>
        <w:t>Une planification de la prévention et de la gestion des déchets à termes de six ans et de douze ans, comportant notamment la mention des installations qu’il apparaît nécessaire de créer ou de faire évoluer</w:t>
      </w:r>
      <w:r w:rsidR="008F13CD">
        <w:rPr>
          <w:rFonts w:asciiTheme="minorHAnsi" w:hAnsiTheme="minorHAnsi"/>
          <w:sz w:val="22"/>
          <w:szCs w:val="22"/>
        </w:rPr>
        <w:t xml:space="preserve"> </w:t>
      </w:r>
      <w:r w:rsidRPr="0038431D">
        <w:rPr>
          <w:rFonts w:asciiTheme="minorHAnsi" w:hAnsiTheme="minorHAnsi"/>
          <w:sz w:val="22"/>
          <w:szCs w:val="22"/>
        </w:rPr>
        <w:t>;</w:t>
      </w:r>
    </w:p>
    <w:p w:rsidR="0038431D" w:rsidRDefault="0038431D" w:rsidP="008F13CD">
      <w:pPr>
        <w:pStyle w:val="dmodeles-petite-loiconfectiontexteloitexte"/>
        <w:numPr>
          <w:ilvl w:val="0"/>
          <w:numId w:val="11"/>
        </w:numPr>
        <w:spacing w:before="0" w:beforeAutospacing="0" w:after="0" w:afterAutospacing="0"/>
        <w:rPr>
          <w:rFonts w:asciiTheme="minorHAnsi" w:hAnsiTheme="minorHAnsi"/>
          <w:sz w:val="22"/>
          <w:szCs w:val="22"/>
        </w:rPr>
      </w:pPr>
      <w:r w:rsidRPr="0038431D">
        <w:rPr>
          <w:rFonts w:asciiTheme="minorHAnsi" w:hAnsiTheme="minorHAnsi"/>
          <w:sz w:val="22"/>
          <w:szCs w:val="22"/>
        </w:rPr>
        <w:t>Un plan régional d’action concernant l’économie circulaire.</w:t>
      </w:r>
    </w:p>
    <w:p w:rsidR="008F13CD" w:rsidRPr="008F13CD" w:rsidRDefault="008F13CD" w:rsidP="008F13CD">
      <w:pPr>
        <w:pStyle w:val="dmodeles-petite-loiconfectiontexteloitexte"/>
        <w:spacing w:before="0" w:beforeAutospacing="0" w:after="0" w:afterAutospacing="0"/>
        <w:rPr>
          <w:rFonts w:asciiTheme="minorHAnsi" w:hAnsiTheme="minorHAnsi"/>
          <w:sz w:val="22"/>
          <w:szCs w:val="22"/>
        </w:rPr>
      </w:pPr>
    </w:p>
    <w:p w:rsidR="00044373" w:rsidRPr="001D0B4D" w:rsidRDefault="00C5440F" w:rsidP="00C5440F">
      <w:pPr>
        <w:pStyle w:val="Paragraphedeliste"/>
        <w:numPr>
          <w:ilvl w:val="0"/>
          <w:numId w:val="15"/>
        </w:numPr>
        <w:spacing w:after="0" w:line="240" w:lineRule="auto"/>
        <w:jc w:val="both"/>
        <w:rPr>
          <w:rFonts w:eastAsia="Times New Roman" w:cs="Arial"/>
          <w:b/>
          <w:u w:val="single"/>
        </w:rPr>
      </w:pPr>
      <w:r w:rsidRPr="001D0B4D">
        <w:rPr>
          <w:b/>
          <w:u w:val="single"/>
        </w:rPr>
        <w:t>Le schéma régional d’aménagement et de développement durable du territoire</w:t>
      </w:r>
      <w:r w:rsidR="00D12517">
        <w:rPr>
          <w:b/>
          <w:u w:val="single"/>
        </w:rPr>
        <w:t xml:space="preserve"> - SRADDT</w:t>
      </w:r>
      <w:r w:rsidR="00570D28" w:rsidRPr="001D0B4D">
        <w:rPr>
          <w:b/>
          <w:u w:val="single"/>
        </w:rPr>
        <w:t xml:space="preserve"> (art. 6 et 7)</w:t>
      </w:r>
    </w:p>
    <w:p w:rsidR="00044373" w:rsidRDefault="00044373" w:rsidP="00C5440F">
      <w:pPr>
        <w:spacing w:after="0" w:line="240" w:lineRule="auto"/>
        <w:jc w:val="both"/>
        <w:rPr>
          <w:rFonts w:eastAsia="Times New Roman" w:cs="Arial"/>
        </w:rPr>
      </w:pPr>
    </w:p>
    <w:p w:rsidR="00C5440F" w:rsidRPr="00851D6F" w:rsidRDefault="00C5440F" w:rsidP="00C5440F">
      <w:pPr>
        <w:pStyle w:val="dmodeles-petite-loiconfectiontexteloitexte"/>
        <w:numPr>
          <w:ilvl w:val="0"/>
          <w:numId w:val="14"/>
        </w:numPr>
        <w:spacing w:before="0" w:beforeAutospacing="0" w:after="0" w:afterAutospacing="0"/>
        <w:jc w:val="both"/>
        <w:rPr>
          <w:rFonts w:asciiTheme="minorHAnsi" w:hAnsiTheme="minorHAnsi" w:cs="Arial"/>
          <w:sz w:val="22"/>
          <w:szCs w:val="22"/>
          <w:u w:val="single"/>
        </w:rPr>
      </w:pPr>
      <w:r w:rsidRPr="00851D6F">
        <w:rPr>
          <w:rFonts w:asciiTheme="minorHAnsi" w:hAnsiTheme="minorHAnsi" w:cs="Arial"/>
          <w:sz w:val="22"/>
          <w:szCs w:val="22"/>
          <w:u w:val="single"/>
        </w:rPr>
        <w:t>Contenu</w:t>
      </w:r>
    </w:p>
    <w:p w:rsidR="00C5440F" w:rsidRDefault="00C5440F" w:rsidP="00C5440F">
      <w:pPr>
        <w:pStyle w:val="dmodeles-petite-loiconfectiontexteloitexte"/>
        <w:spacing w:before="0" w:beforeAutospacing="0" w:after="0" w:afterAutospacing="0"/>
        <w:jc w:val="both"/>
        <w:rPr>
          <w:rFonts w:asciiTheme="minorHAnsi" w:hAnsiTheme="minorHAnsi" w:cs="Arial"/>
          <w:sz w:val="22"/>
          <w:szCs w:val="22"/>
        </w:rPr>
      </w:pPr>
    </w:p>
    <w:p w:rsidR="00C5440F" w:rsidRPr="00C5440F" w:rsidRDefault="00B75B9A" w:rsidP="00C5440F">
      <w:pPr>
        <w:pStyle w:val="dmodeles-petite-loiconfectiontexteloitexte"/>
        <w:spacing w:before="0" w:beforeAutospacing="0" w:after="0" w:afterAutospacing="0"/>
        <w:jc w:val="both"/>
        <w:rPr>
          <w:rFonts w:asciiTheme="minorHAnsi" w:hAnsiTheme="minorHAnsi" w:cs="Arial"/>
          <w:sz w:val="22"/>
          <w:szCs w:val="22"/>
        </w:rPr>
      </w:pPr>
      <w:r>
        <w:rPr>
          <w:rFonts w:asciiTheme="minorHAnsi" w:hAnsiTheme="minorHAnsi" w:cs="Arial"/>
          <w:sz w:val="22"/>
          <w:szCs w:val="22"/>
        </w:rPr>
        <w:sym w:font="Wingdings" w:char="F071"/>
      </w:r>
      <w:r>
        <w:rPr>
          <w:rFonts w:asciiTheme="minorHAnsi" w:hAnsiTheme="minorHAnsi" w:cs="Arial"/>
          <w:sz w:val="22"/>
          <w:szCs w:val="22"/>
        </w:rPr>
        <w:t xml:space="preserve"> </w:t>
      </w:r>
      <w:r w:rsidR="00C5440F" w:rsidRPr="00C5440F">
        <w:rPr>
          <w:rFonts w:asciiTheme="minorHAnsi" w:hAnsiTheme="minorHAnsi" w:cs="Arial"/>
          <w:sz w:val="22"/>
          <w:szCs w:val="22"/>
        </w:rPr>
        <w:t>La région, à l’exception de la région d’Île-de-France, des régions d’outre-mer et des collectivités territoriales à statut particulier exerçant les compétences d’une région, élabore un schéma régional d’aménagement et de développement durable du territoire.</w:t>
      </w:r>
    </w:p>
    <w:p w:rsidR="0075232F" w:rsidRDefault="0075232F" w:rsidP="00C5440F">
      <w:pPr>
        <w:pStyle w:val="dmodeles-petite-loiconfectiontexteloitexte"/>
        <w:spacing w:before="0" w:beforeAutospacing="0" w:after="0" w:afterAutospacing="0"/>
        <w:jc w:val="both"/>
        <w:rPr>
          <w:rFonts w:asciiTheme="minorHAnsi" w:hAnsiTheme="minorHAnsi" w:cs="Arial"/>
          <w:sz w:val="22"/>
          <w:szCs w:val="22"/>
        </w:rPr>
      </w:pPr>
    </w:p>
    <w:p w:rsidR="00C5440F" w:rsidRPr="00C5440F" w:rsidRDefault="00B75B9A" w:rsidP="00C5440F">
      <w:pPr>
        <w:pStyle w:val="dmodeles-petite-loiconfectiontexteloitexte"/>
        <w:spacing w:before="0" w:beforeAutospacing="0" w:after="0" w:afterAutospacing="0"/>
        <w:jc w:val="both"/>
        <w:rPr>
          <w:rFonts w:asciiTheme="minorHAnsi" w:hAnsiTheme="minorHAnsi" w:cs="Arial"/>
          <w:sz w:val="22"/>
          <w:szCs w:val="22"/>
        </w:rPr>
      </w:pPr>
      <w:r>
        <w:rPr>
          <w:rFonts w:asciiTheme="minorHAnsi" w:hAnsiTheme="minorHAnsi" w:cs="Arial"/>
          <w:sz w:val="22"/>
          <w:szCs w:val="22"/>
        </w:rPr>
        <w:sym w:font="Wingdings" w:char="F071"/>
      </w:r>
      <w:r>
        <w:rPr>
          <w:rFonts w:asciiTheme="minorHAnsi" w:hAnsiTheme="minorHAnsi" w:cs="Arial"/>
          <w:sz w:val="22"/>
          <w:szCs w:val="22"/>
        </w:rPr>
        <w:t xml:space="preserve"> </w:t>
      </w:r>
      <w:r w:rsidR="008F13CD">
        <w:rPr>
          <w:rFonts w:asciiTheme="minorHAnsi" w:hAnsiTheme="minorHAnsi" w:cs="Arial"/>
          <w:sz w:val="22"/>
          <w:szCs w:val="22"/>
        </w:rPr>
        <w:t>Les objectifs de ce schéma sont de </w:t>
      </w:r>
      <w:r w:rsidR="00C5440F" w:rsidRPr="00C5440F">
        <w:rPr>
          <w:rFonts w:asciiTheme="minorHAnsi" w:hAnsiTheme="minorHAnsi" w:cs="Arial"/>
          <w:sz w:val="22"/>
          <w:szCs w:val="22"/>
        </w:rPr>
        <w:t>fixe</w:t>
      </w:r>
      <w:r w:rsidR="008F13CD">
        <w:rPr>
          <w:rFonts w:asciiTheme="minorHAnsi" w:hAnsiTheme="minorHAnsi" w:cs="Arial"/>
          <w:sz w:val="22"/>
          <w:szCs w:val="22"/>
        </w:rPr>
        <w:t>r</w:t>
      </w:r>
      <w:r w:rsidR="00C5440F" w:rsidRPr="00C5440F">
        <w:rPr>
          <w:rFonts w:asciiTheme="minorHAnsi" w:hAnsiTheme="minorHAnsi" w:cs="Arial"/>
          <w:sz w:val="22"/>
          <w:szCs w:val="22"/>
        </w:rPr>
        <w:t xml:space="preserve"> les orientations stratégiques et les objectifs sur le territoire de la région en matière d’équilibre et d’égalité des territoires, de logement, d’intermodalité </w:t>
      </w:r>
      <w:r w:rsidR="00C5440F" w:rsidRPr="008F13CD">
        <w:rPr>
          <w:rFonts w:asciiTheme="minorHAnsi" w:hAnsiTheme="minorHAnsi" w:cs="Arial"/>
          <w:b/>
          <w:sz w:val="22"/>
          <w:szCs w:val="22"/>
        </w:rPr>
        <w:t>et de développement des transports</w:t>
      </w:r>
      <w:r w:rsidR="008F13CD">
        <w:rPr>
          <w:rFonts w:asciiTheme="minorHAnsi" w:hAnsiTheme="minorHAnsi" w:cs="Arial"/>
          <w:b/>
          <w:sz w:val="22"/>
          <w:szCs w:val="22"/>
        </w:rPr>
        <w:t xml:space="preserve"> (amendement du RDSE)</w:t>
      </w:r>
      <w:r w:rsidR="00C5440F" w:rsidRPr="00C5440F">
        <w:rPr>
          <w:rFonts w:asciiTheme="minorHAnsi" w:hAnsiTheme="minorHAnsi" w:cs="Arial"/>
          <w:sz w:val="22"/>
          <w:szCs w:val="22"/>
        </w:rPr>
        <w:t xml:space="preserve">, de maîtrise et de valorisation de </w:t>
      </w:r>
      <w:r w:rsidR="00C5440F" w:rsidRPr="00C5440F">
        <w:rPr>
          <w:rFonts w:asciiTheme="minorHAnsi" w:hAnsiTheme="minorHAnsi" w:cs="Arial"/>
          <w:sz w:val="22"/>
          <w:szCs w:val="22"/>
        </w:rPr>
        <w:lastRenderedPageBreak/>
        <w:t>l’énergie, de lutte contre le changement climatique, de pollution de l’air, de prévention et de gestion des déchets.</w:t>
      </w:r>
    </w:p>
    <w:p w:rsidR="0075232F" w:rsidRDefault="0075232F" w:rsidP="00C5440F">
      <w:pPr>
        <w:pStyle w:val="dmodeles-petite-loiconfectiontexteloitexte"/>
        <w:spacing w:before="0" w:beforeAutospacing="0" w:after="0" w:afterAutospacing="0"/>
        <w:jc w:val="both"/>
        <w:rPr>
          <w:rFonts w:asciiTheme="minorHAnsi" w:hAnsiTheme="minorHAnsi" w:cs="Arial"/>
          <w:sz w:val="22"/>
          <w:szCs w:val="22"/>
        </w:rPr>
      </w:pPr>
    </w:p>
    <w:p w:rsidR="00C5440F" w:rsidRDefault="00C5440F" w:rsidP="00C5440F">
      <w:pPr>
        <w:pStyle w:val="dmodeles-petite-loiconfectiontexteloitexte"/>
        <w:spacing w:before="0" w:beforeAutospacing="0" w:after="0" w:afterAutospacing="0"/>
        <w:jc w:val="both"/>
        <w:rPr>
          <w:rFonts w:asciiTheme="minorHAnsi" w:hAnsiTheme="minorHAnsi" w:cs="Arial"/>
          <w:sz w:val="22"/>
          <w:szCs w:val="22"/>
        </w:rPr>
      </w:pPr>
      <w:r w:rsidRPr="00C5440F">
        <w:rPr>
          <w:rFonts w:asciiTheme="minorHAnsi" w:hAnsiTheme="minorHAnsi" w:cs="Arial"/>
          <w:sz w:val="22"/>
          <w:szCs w:val="22"/>
        </w:rPr>
        <w:t>Il peut fixer des orientations stratégiques et des objectifs dans tout autre domaine contribuant à l’aménagement du territoire lorsque la région détient, en vertu de la loi, une compétence exclusive de planification, de programmation ou d’orientation et que le conseil régional décide de l’exercer dans le cadre de ce schéma, par délibération prévue à l’article L. 4251</w:t>
      </w:r>
      <w:r w:rsidRPr="00C5440F">
        <w:rPr>
          <w:rFonts w:asciiTheme="minorHAnsi" w:hAnsiTheme="minorHAnsi" w:cs="Arial"/>
          <w:sz w:val="22"/>
          <w:szCs w:val="22"/>
        </w:rPr>
        <w:noBreakHyphen/>
        <w:t>5. Dans ce cas, le schéma tient lieu de document sectoriel de planification, de programmation ou d’orientation. Pour les domaines dans lesquels la loi institue un document sectoriel auquel le schéma se substitue, ce dernier reprend les éléments essentiels du contenu de ces documents.</w:t>
      </w:r>
    </w:p>
    <w:p w:rsidR="00C5440F" w:rsidRPr="00C5440F" w:rsidRDefault="00C5440F" w:rsidP="00C5440F">
      <w:pPr>
        <w:pStyle w:val="dmodeles-petite-loiconfectiontexteloitexte"/>
        <w:spacing w:before="0" w:beforeAutospacing="0" w:after="0" w:afterAutospacing="0"/>
        <w:jc w:val="both"/>
        <w:rPr>
          <w:rFonts w:asciiTheme="minorHAnsi" w:hAnsiTheme="minorHAnsi" w:cs="Arial"/>
          <w:sz w:val="22"/>
          <w:szCs w:val="22"/>
        </w:rPr>
      </w:pPr>
      <w:r w:rsidRPr="0075232F">
        <w:rPr>
          <w:rFonts w:asciiTheme="minorHAnsi" w:hAnsiTheme="minorHAnsi" w:cs="Arial"/>
          <w:b/>
          <w:sz w:val="22"/>
          <w:szCs w:val="22"/>
        </w:rPr>
        <w:t>Le schéma détermine les modalités de mise en œuvre de ces orientations stratégiques et de ces objectifs. Ces modalités peuvent être différentes selon les parties du territoire de la région</w:t>
      </w:r>
      <w:r w:rsidRPr="00C5440F">
        <w:rPr>
          <w:rFonts w:asciiTheme="minorHAnsi" w:hAnsiTheme="minorHAnsi" w:cs="Arial"/>
          <w:sz w:val="22"/>
          <w:szCs w:val="22"/>
        </w:rPr>
        <w:t>.</w:t>
      </w:r>
    </w:p>
    <w:p w:rsidR="00B7547D" w:rsidRDefault="00B7547D" w:rsidP="00C5440F">
      <w:pPr>
        <w:pStyle w:val="dmodeles-petite-loiconfectiontexteloitexte"/>
        <w:spacing w:before="0" w:beforeAutospacing="0" w:after="0" w:afterAutospacing="0"/>
        <w:jc w:val="both"/>
        <w:rPr>
          <w:rFonts w:asciiTheme="minorHAnsi" w:hAnsiTheme="minorHAnsi" w:cs="Arial"/>
          <w:sz w:val="22"/>
          <w:szCs w:val="22"/>
        </w:rPr>
      </w:pPr>
    </w:p>
    <w:p w:rsidR="00C5440F" w:rsidRPr="00C5440F" w:rsidRDefault="0075232F" w:rsidP="00C5440F">
      <w:pPr>
        <w:pStyle w:val="dmodeles-petite-loiconfectiontexteloitexte"/>
        <w:spacing w:before="0" w:beforeAutospacing="0" w:after="0" w:afterAutospacing="0"/>
        <w:jc w:val="both"/>
        <w:rPr>
          <w:rFonts w:asciiTheme="minorHAnsi" w:hAnsiTheme="minorHAnsi" w:cs="Arial"/>
          <w:sz w:val="22"/>
          <w:szCs w:val="22"/>
        </w:rPr>
      </w:pPr>
      <w:r>
        <w:rPr>
          <w:rFonts w:asciiTheme="minorHAnsi" w:hAnsiTheme="minorHAnsi" w:cs="Arial"/>
          <w:sz w:val="22"/>
          <w:szCs w:val="22"/>
        </w:rPr>
        <w:sym w:font="Wingdings" w:char="F071"/>
      </w:r>
      <w:r>
        <w:rPr>
          <w:rFonts w:asciiTheme="minorHAnsi" w:hAnsiTheme="minorHAnsi" w:cs="Arial"/>
          <w:sz w:val="22"/>
          <w:szCs w:val="22"/>
        </w:rPr>
        <w:t xml:space="preserve"> </w:t>
      </w:r>
      <w:r w:rsidR="00C5440F" w:rsidRPr="00C5440F">
        <w:rPr>
          <w:rFonts w:asciiTheme="minorHAnsi" w:hAnsiTheme="minorHAnsi" w:cs="Arial"/>
          <w:sz w:val="22"/>
          <w:szCs w:val="22"/>
        </w:rPr>
        <w:t xml:space="preserve">Les schémas de cohérence territoriale </w:t>
      </w:r>
      <w:r w:rsidR="002E41E8">
        <w:rPr>
          <w:rFonts w:asciiTheme="minorHAnsi" w:hAnsiTheme="minorHAnsi" w:cs="Arial"/>
          <w:sz w:val="22"/>
          <w:szCs w:val="22"/>
        </w:rPr>
        <w:t xml:space="preserve">(SCOT) </w:t>
      </w:r>
      <w:r w:rsidR="00C5440F" w:rsidRPr="00C5440F">
        <w:rPr>
          <w:rFonts w:asciiTheme="minorHAnsi" w:hAnsiTheme="minorHAnsi" w:cs="Arial"/>
          <w:sz w:val="22"/>
          <w:szCs w:val="22"/>
        </w:rPr>
        <w:t>et, à défaut, les plans locaux d’urbanisme</w:t>
      </w:r>
      <w:r w:rsidR="002E41E8">
        <w:rPr>
          <w:rFonts w:asciiTheme="minorHAnsi" w:hAnsiTheme="minorHAnsi" w:cs="Arial"/>
          <w:sz w:val="22"/>
          <w:szCs w:val="22"/>
        </w:rPr>
        <w:t xml:space="preserve"> (PLU)</w:t>
      </w:r>
      <w:r w:rsidR="00C5440F" w:rsidRPr="00C5440F">
        <w:rPr>
          <w:rFonts w:asciiTheme="minorHAnsi" w:hAnsiTheme="minorHAnsi" w:cs="Arial"/>
          <w:sz w:val="22"/>
          <w:szCs w:val="22"/>
        </w:rPr>
        <w:t>, les cartes communales ou les documents en tenant lieu, ainsi que les plans de déplacements urbains, les plans climat</w:t>
      </w:r>
      <w:r w:rsidR="00C5440F" w:rsidRPr="00C5440F">
        <w:rPr>
          <w:rFonts w:asciiTheme="minorHAnsi" w:hAnsiTheme="minorHAnsi" w:cs="Arial"/>
          <w:sz w:val="22"/>
          <w:szCs w:val="22"/>
        </w:rPr>
        <w:noBreakHyphen/>
        <w:t>énergie territoriaux et les chartes des parcs naturels régionaux :</w:t>
      </w:r>
    </w:p>
    <w:p w:rsidR="00C5440F" w:rsidRPr="00C5440F" w:rsidRDefault="00C5440F" w:rsidP="00C5440F">
      <w:pPr>
        <w:pStyle w:val="dmodeles-petite-loiconfectiontexteloitexte"/>
        <w:spacing w:before="0" w:beforeAutospacing="0" w:after="0" w:afterAutospacing="0"/>
        <w:jc w:val="both"/>
        <w:rPr>
          <w:rFonts w:asciiTheme="minorHAnsi" w:hAnsiTheme="minorHAnsi" w:cs="Arial"/>
          <w:sz w:val="22"/>
          <w:szCs w:val="22"/>
        </w:rPr>
      </w:pPr>
      <w:r w:rsidRPr="00C5440F">
        <w:rPr>
          <w:rFonts w:asciiTheme="minorHAnsi" w:hAnsiTheme="minorHAnsi" w:cs="Arial"/>
          <w:sz w:val="22"/>
          <w:szCs w:val="22"/>
        </w:rPr>
        <w:t xml:space="preserve">1° Prennent en compte les orientations et objectifs du </w:t>
      </w:r>
      <w:r w:rsidR="002E41E8">
        <w:rPr>
          <w:rFonts w:asciiTheme="minorHAnsi" w:hAnsiTheme="minorHAnsi" w:cs="Arial"/>
          <w:sz w:val="22"/>
          <w:szCs w:val="22"/>
        </w:rPr>
        <w:t>SRADDT</w:t>
      </w:r>
      <w:r w:rsidRPr="00C5440F">
        <w:rPr>
          <w:rFonts w:asciiTheme="minorHAnsi" w:hAnsiTheme="minorHAnsi" w:cs="Arial"/>
          <w:sz w:val="22"/>
          <w:szCs w:val="22"/>
        </w:rPr>
        <w:t> ;</w:t>
      </w:r>
    </w:p>
    <w:p w:rsidR="00C5440F" w:rsidRPr="00C5440F" w:rsidRDefault="00C5440F" w:rsidP="00C5440F">
      <w:pPr>
        <w:pStyle w:val="dmodeles-petite-loiconfectiontexteloitexte"/>
        <w:spacing w:before="0" w:beforeAutospacing="0" w:after="0" w:afterAutospacing="0"/>
        <w:jc w:val="both"/>
        <w:rPr>
          <w:rFonts w:asciiTheme="minorHAnsi" w:hAnsiTheme="minorHAnsi" w:cs="Arial"/>
          <w:sz w:val="22"/>
          <w:szCs w:val="22"/>
        </w:rPr>
      </w:pPr>
      <w:r w:rsidRPr="00C5440F">
        <w:rPr>
          <w:rFonts w:asciiTheme="minorHAnsi" w:hAnsiTheme="minorHAnsi" w:cs="Arial"/>
          <w:sz w:val="22"/>
          <w:szCs w:val="22"/>
        </w:rPr>
        <w:t>2° Sont compatibles avec les modalités de mise en œuvre des orientations et objectifs du schéma.</w:t>
      </w:r>
    </w:p>
    <w:p w:rsidR="0075232F" w:rsidRDefault="0075232F" w:rsidP="00C5440F">
      <w:pPr>
        <w:pStyle w:val="dmodeles-petite-loiconfectiontexteloitexte"/>
        <w:spacing w:before="0" w:beforeAutospacing="0" w:after="0" w:afterAutospacing="0"/>
        <w:jc w:val="both"/>
        <w:rPr>
          <w:rFonts w:asciiTheme="minorHAnsi" w:hAnsiTheme="minorHAnsi" w:cs="Arial"/>
          <w:sz w:val="22"/>
          <w:szCs w:val="22"/>
        </w:rPr>
      </w:pPr>
    </w:p>
    <w:p w:rsidR="00C5440F" w:rsidRPr="00C5440F" w:rsidRDefault="0075232F" w:rsidP="00C5440F">
      <w:pPr>
        <w:pStyle w:val="dmodeles-petite-loiconfectiontexteloitexte"/>
        <w:spacing w:before="0" w:beforeAutospacing="0" w:after="0" w:afterAutospacing="0"/>
        <w:jc w:val="both"/>
        <w:rPr>
          <w:rFonts w:asciiTheme="minorHAnsi" w:hAnsiTheme="minorHAnsi" w:cs="Arial"/>
          <w:sz w:val="22"/>
          <w:szCs w:val="22"/>
        </w:rPr>
      </w:pPr>
      <w:r>
        <w:rPr>
          <w:rFonts w:asciiTheme="minorHAnsi" w:hAnsiTheme="minorHAnsi" w:cs="Arial"/>
          <w:sz w:val="22"/>
          <w:szCs w:val="22"/>
        </w:rPr>
        <w:t>Lorsque c</w:t>
      </w:r>
      <w:r w:rsidR="00C5440F" w:rsidRPr="00C5440F">
        <w:rPr>
          <w:rFonts w:asciiTheme="minorHAnsi" w:hAnsiTheme="minorHAnsi" w:cs="Arial"/>
          <w:sz w:val="22"/>
          <w:szCs w:val="22"/>
        </w:rPr>
        <w:t xml:space="preserve">es documents ont été adoptés antérieurement à l’approbation du premier </w:t>
      </w:r>
      <w:r>
        <w:rPr>
          <w:rFonts w:asciiTheme="minorHAnsi" w:hAnsiTheme="minorHAnsi" w:cs="Arial"/>
          <w:sz w:val="22"/>
          <w:szCs w:val="22"/>
        </w:rPr>
        <w:t>SRADDT</w:t>
      </w:r>
      <w:r w:rsidR="00C5440F" w:rsidRPr="00C5440F">
        <w:rPr>
          <w:rFonts w:asciiTheme="minorHAnsi" w:hAnsiTheme="minorHAnsi" w:cs="Arial"/>
          <w:sz w:val="22"/>
          <w:szCs w:val="22"/>
        </w:rPr>
        <w:t>, ils prennent en compte les orientations et objectifs du schéma lors de la première révision qui suit l’approbation du schéma. Ils sont mis en compatibilité avec les modalités de mise en œuvre</w:t>
      </w:r>
      <w:r>
        <w:rPr>
          <w:rFonts w:asciiTheme="minorHAnsi" w:hAnsiTheme="minorHAnsi" w:cs="Arial"/>
          <w:sz w:val="22"/>
          <w:szCs w:val="22"/>
        </w:rPr>
        <w:t xml:space="preserve"> du schéma dans un délai de 3</w:t>
      </w:r>
      <w:r w:rsidR="00C5440F" w:rsidRPr="00C5440F">
        <w:rPr>
          <w:rFonts w:asciiTheme="minorHAnsi" w:hAnsiTheme="minorHAnsi" w:cs="Arial"/>
          <w:sz w:val="22"/>
          <w:szCs w:val="22"/>
        </w:rPr>
        <w:t xml:space="preserve"> ans à compter de cette approbation.</w:t>
      </w:r>
    </w:p>
    <w:p w:rsidR="00C5440F" w:rsidRDefault="00C5440F" w:rsidP="00C5440F">
      <w:pPr>
        <w:spacing w:after="0" w:line="240" w:lineRule="auto"/>
        <w:jc w:val="both"/>
        <w:rPr>
          <w:rFonts w:eastAsia="Times New Roman" w:cs="Arial"/>
        </w:rPr>
      </w:pPr>
    </w:p>
    <w:p w:rsidR="00C5440F" w:rsidRPr="00851D6F" w:rsidRDefault="00C5440F" w:rsidP="00C5440F">
      <w:pPr>
        <w:pStyle w:val="dmodeles-petite-loiconfectiontexteloitexte"/>
        <w:numPr>
          <w:ilvl w:val="0"/>
          <w:numId w:val="14"/>
        </w:numPr>
        <w:spacing w:before="0" w:beforeAutospacing="0" w:after="0" w:afterAutospacing="0"/>
        <w:jc w:val="both"/>
        <w:rPr>
          <w:rFonts w:asciiTheme="minorHAnsi" w:eastAsia="Calibri" w:hAnsiTheme="minorHAnsi"/>
          <w:sz w:val="22"/>
          <w:szCs w:val="22"/>
          <w:u w:val="single"/>
        </w:rPr>
      </w:pPr>
      <w:r w:rsidRPr="00851D6F">
        <w:rPr>
          <w:rFonts w:asciiTheme="minorHAnsi" w:eastAsia="Calibri" w:hAnsiTheme="minorHAnsi"/>
          <w:sz w:val="22"/>
          <w:szCs w:val="22"/>
          <w:u w:val="single"/>
        </w:rPr>
        <w:t>Adoption et élaboration des SRADT</w:t>
      </w:r>
    </w:p>
    <w:p w:rsidR="00C5440F" w:rsidRDefault="00C5440F" w:rsidP="00C5440F">
      <w:pPr>
        <w:spacing w:after="0" w:line="240" w:lineRule="auto"/>
        <w:jc w:val="both"/>
        <w:rPr>
          <w:rFonts w:eastAsia="Times New Roman" w:cs="Arial"/>
        </w:rPr>
      </w:pPr>
    </w:p>
    <w:p w:rsidR="00C5440F" w:rsidRPr="00C5440F" w:rsidRDefault="00681A4B" w:rsidP="00C5440F">
      <w:pPr>
        <w:pStyle w:val="dmodeles-petite-loiconfectiontexteloitexte"/>
        <w:spacing w:before="0" w:beforeAutospacing="0" w:after="0" w:afterAutospacing="0"/>
        <w:jc w:val="both"/>
        <w:rPr>
          <w:rFonts w:asciiTheme="minorHAnsi" w:hAnsiTheme="minorHAnsi" w:cs="Arial"/>
          <w:sz w:val="22"/>
          <w:szCs w:val="22"/>
        </w:rPr>
      </w:pPr>
      <w:r>
        <w:rPr>
          <w:rFonts w:asciiTheme="minorHAnsi" w:hAnsiTheme="minorHAnsi" w:cs="Arial"/>
          <w:sz w:val="22"/>
          <w:szCs w:val="22"/>
        </w:rPr>
        <w:sym w:font="Wingdings" w:char="F071"/>
      </w:r>
      <w:r>
        <w:rPr>
          <w:rFonts w:asciiTheme="minorHAnsi" w:hAnsiTheme="minorHAnsi" w:cs="Arial"/>
          <w:sz w:val="22"/>
          <w:szCs w:val="22"/>
        </w:rPr>
        <w:t xml:space="preserve"> </w:t>
      </w:r>
      <w:r w:rsidRPr="00C5440F">
        <w:rPr>
          <w:rFonts w:asciiTheme="minorHAnsi" w:hAnsiTheme="minorHAnsi" w:cs="Arial"/>
          <w:sz w:val="22"/>
          <w:szCs w:val="22"/>
        </w:rPr>
        <w:t xml:space="preserve">Préalablement </w:t>
      </w:r>
      <w:r w:rsidR="00C5440F" w:rsidRPr="00C5440F">
        <w:rPr>
          <w:rFonts w:asciiTheme="minorHAnsi" w:hAnsiTheme="minorHAnsi" w:cs="Arial"/>
          <w:sz w:val="22"/>
          <w:szCs w:val="22"/>
        </w:rPr>
        <w:t>à son élaboration, le conseil régional débat sur les orientations stratégiques du schéma, à l’issue d’</w:t>
      </w:r>
      <w:r>
        <w:rPr>
          <w:rFonts w:asciiTheme="minorHAnsi" w:hAnsiTheme="minorHAnsi" w:cs="Arial"/>
          <w:sz w:val="22"/>
          <w:szCs w:val="22"/>
        </w:rPr>
        <w:t>une concertation au sein de la CTAP</w:t>
      </w:r>
      <w:r w:rsidR="00C5440F" w:rsidRPr="00C5440F">
        <w:rPr>
          <w:rFonts w:asciiTheme="minorHAnsi" w:hAnsiTheme="minorHAnsi" w:cs="Arial"/>
          <w:sz w:val="22"/>
          <w:szCs w:val="22"/>
        </w:rPr>
        <w:t>.</w:t>
      </w:r>
    </w:p>
    <w:p w:rsidR="00D34B3D" w:rsidRDefault="00D34B3D" w:rsidP="00C5440F">
      <w:pPr>
        <w:pStyle w:val="dmodeles-petite-loiconfectiontexteloitexte"/>
        <w:spacing w:before="0" w:beforeAutospacing="0" w:after="0" w:afterAutospacing="0"/>
        <w:jc w:val="both"/>
        <w:rPr>
          <w:rFonts w:asciiTheme="minorHAnsi" w:hAnsiTheme="minorHAnsi" w:cs="Arial"/>
          <w:sz w:val="22"/>
          <w:szCs w:val="22"/>
        </w:rPr>
      </w:pPr>
    </w:p>
    <w:p w:rsidR="00C5440F" w:rsidRPr="00C5440F" w:rsidRDefault="00681A4B" w:rsidP="00C5440F">
      <w:pPr>
        <w:pStyle w:val="dmodeles-petite-loiconfectiontexteloitexte"/>
        <w:spacing w:before="0" w:beforeAutospacing="0" w:after="0" w:afterAutospacing="0"/>
        <w:jc w:val="both"/>
        <w:rPr>
          <w:rFonts w:asciiTheme="minorHAnsi" w:hAnsiTheme="minorHAnsi" w:cs="Arial"/>
          <w:sz w:val="22"/>
          <w:szCs w:val="22"/>
        </w:rPr>
      </w:pPr>
      <w:r>
        <w:rPr>
          <w:rFonts w:asciiTheme="minorHAnsi" w:hAnsiTheme="minorHAnsi" w:cs="Arial"/>
          <w:sz w:val="22"/>
          <w:szCs w:val="22"/>
        </w:rPr>
        <w:sym w:font="Wingdings" w:char="F071"/>
      </w:r>
      <w:r>
        <w:rPr>
          <w:rFonts w:asciiTheme="minorHAnsi" w:hAnsiTheme="minorHAnsi" w:cs="Arial"/>
          <w:sz w:val="22"/>
          <w:szCs w:val="22"/>
        </w:rPr>
        <w:t xml:space="preserve"> </w:t>
      </w:r>
      <w:r w:rsidR="00C5440F" w:rsidRPr="00C5440F">
        <w:rPr>
          <w:rFonts w:asciiTheme="minorHAnsi" w:hAnsiTheme="minorHAnsi" w:cs="Arial"/>
          <w:sz w:val="22"/>
          <w:szCs w:val="22"/>
        </w:rPr>
        <w:t>Participent à l’élaboration du projet de schéma :</w:t>
      </w:r>
    </w:p>
    <w:p w:rsidR="00C5440F" w:rsidRPr="00C5440F" w:rsidRDefault="00C5440F" w:rsidP="00C5440F">
      <w:pPr>
        <w:pStyle w:val="dmodeles-petite-loiconfectiontexteloitexte"/>
        <w:spacing w:before="0" w:beforeAutospacing="0" w:after="0" w:afterAutospacing="0"/>
        <w:jc w:val="both"/>
        <w:rPr>
          <w:rFonts w:asciiTheme="minorHAnsi" w:hAnsiTheme="minorHAnsi" w:cs="Arial"/>
          <w:sz w:val="22"/>
          <w:szCs w:val="22"/>
        </w:rPr>
      </w:pPr>
      <w:r w:rsidRPr="00C5440F">
        <w:rPr>
          <w:rFonts w:asciiTheme="minorHAnsi" w:hAnsiTheme="minorHAnsi" w:cs="Arial"/>
          <w:sz w:val="22"/>
          <w:szCs w:val="22"/>
        </w:rPr>
        <w:t>1° Le représentant de l’État dans la région ;</w:t>
      </w:r>
    </w:p>
    <w:p w:rsidR="00C5440F" w:rsidRPr="00C5440F" w:rsidRDefault="00C5440F" w:rsidP="00C5440F">
      <w:pPr>
        <w:pStyle w:val="dmodeles-petite-loiconfectiontexteloitexte"/>
        <w:spacing w:before="0" w:beforeAutospacing="0" w:after="0" w:afterAutospacing="0"/>
        <w:jc w:val="both"/>
        <w:rPr>
          <w:rFonts w:asciiTheme="minorHAnsi" w:hAnsiTheme="minorHAnsi" w:cs="Arial"/>
          <w:sz w:val="22"/>
          <w:szCs w:val="22"/>
        </w:rPr>
      </w:pPr>
      <w:r w:rsidRPr="00C5440F">
        <w:rPr>
          <w:rFonts w:asciiTheme="minorHAnsi" w:hAnsiTheme="minorHAnsi" w:cs="Arial"/>
          <w:sz w:val="22"/>
          <w:szCs w:val="22"/>
        </w:rPr>
        <w:t>2° Les conseils généraux des départements de la région ;</w:t>
      </w:r>
    </w:p>
    <w:p w:rsidR="00C5440F" w:rsidRPr="00C5440F" w:rsidRDefault="00C5440F" w:rsidP="00C5440F">
      <w:pPr>
        <w:pStyle w:val="dmodeles-petite-loiconfectiontexteloitexte"/>
        <w:spacing w:before="0" w:beforeAutospacing="0" w:after="0" w:afterAutospacing="0"/>
        <w:jc w:val="both"/>
        <w:rPr>
          <w:rFonts w:asciiTheme="minorHAnsi" w:hAnsiTheme="minorHAnsi" w:cs="Arial"/>
          <w:sz w:val="22"/>
          <w:szCs w:val="22"/>
        </w:rPr>
      </w:pPr>
      <w:r w:rsidRPr="00C5440F">
        <w:rPr>
          <w:rFonts w:asciiTheme="minorHAnsi" w:hAnsiTheme="minorHAnsi" w:cs="Arial"/>
          <w:sz w:val="22"/>
          <w:szCs w:val="22"/>
        </w:rPr>
        <w:t>3° Les établissements publics intéressés ;</w:t>
      </w:r>
    </w:p>
    <w:p w:rsidR="00C5440F" w:rsidRPr="00C5440F" w:rsidRDefault="00C5440F" w:rsidP="00C5440F">
      <w:pPr>
        <w:pStyle w:val="dmodeles-petite-loiconfectiontexteloitexte"/>
        <w:spacing w:before="0" w:beforeAutospacing="0" w:after="0" w:afterAutospacing="0"/>
        <w:jc w:val="both"/>
        <w:rPr>
          <w:rFonts w:asciiTheme="minorHAnsi" w:hAnsiTheme="minorHAnsi" w:cs="Arial"/>
          <w:sz w:val="22"/>
          <w:szCs w:val="22"/>
        </w:rPr>
      </w:pPr>
      <w:r w:rsidRPr="00C5440F">
        <w:rPr>
          <w:rFonts w:asciiTheme="minorHAnsi" w:hAnsiTheme="minorHAnsi" w:cs="Arial"/>
          <w:sz w:val="22"/>
          <w:szCs w:val="22"/>
        </w:rPr>
        <w:t xml:space="preserve">4° Les </w:t>
      </w:r>
      <w:r w:rsidR="00681A4B">
        <w:rPr>
          <w:rFonts w:asciiTheme="minorHAnsi" w:hAnsiTheme="minorHAnsi" w:cs="Arial"/>
          <w:sz w:val="22"/>
          <w:szCs w:val="22"/>
        </w:rPr>
        <w:t>EPCI</w:t>
      </w:r>
      <w:r w:rsidRPr="00C5440F">
        <w:rPr>
          <w:rFonts w:asciiTheme="minorHAnsi" w:hAnsiTheme="minorHAnsi" w:cs="Arial"/>
          <w:sz w:val="22"/>
          <w:szCs w:val="22"/>
        </w:rPr>
        <w:t xml:space="preserve"> à fiscalité propre qui </w:t>
      </w:r>
      <w:proofErr w:type="gramStart"/>
      <w:r w:rsidRPr="00C5440F">
        <w:rPr>
          <w:rFonts w:asciiTheme="minorHAnsi" w:hAnsiTheme="minorHAnsi" w:cs="Arial"/>
          <w:sz w:val="22"/>
          <w:szCs w:val="22"/>
        </w:rPr>
        <w:t>ne sont</w:t>
      </w:r>
      <w:proofErr w:type="gramEnd"/>
      <w:r w:rsidRPr="00C5440F">
        <w:rPr>
          <w:rFonts w:asciiTheme="minorHAnsi" w:hAnsiTheme="minorHAnsi" w:cs="Arial"/>
          <w:sz w:val="22"/>
          <w:szCs w:val="22"/>
        </w:rPr>
        <w:t xml:space="preserve"> pas situés dans le périmètre d’un établissement public mentionné au 3° ;</w:t>
      </w:r>
    </w:p>
    <w:p w:rsidR="00C5440F" w:rsidRPr="00C5440F" w:rsidRDefault="00681A4B" w:rsidP="00C5440F">
      <w:pPr>
        <w:pStyle w:val="dmodeles-petite-loiconfectiontexteloitexte"/>
        <w:spacing w:before="0" w:beforeAutospacing="0" w:after="0" w:afterAutospacing="0"/>
        <w:jc w:val="both"/>
        <w:rPr>
          <w:rFonts w:asciiTheme="minorHAnsi" w:hAnsiTheme="minorHAnsi" w:cs="Arial"/>
          <w:sz w:val="22"/>
          <w:szCs w:val="22"/>
        </w:rPr>
      </w:pPr>
      <w:r>
        <w:rPr>
          <w:rFonts w:asciiTheme="minorHAnsi" w:hAnsiTheme="minorHAnsi" w:cs="Arial"/>
          <w:sz w:val="22"/>
          <w:szCs w:val="22"/>
        </w:rPr>
        <w:t>4° bis </w:t>
      </w:r>
      <w:r w:rsidR="00C5440F" w:rsidRPr="00C5440F">
        <w:rPr>
          <w:rFonts w:asciiTheme="minorHAnsi" w:hAnsiTheme="minorHAnsi" w:cs="Arial"/>
          <w:sz w:val="22"/>
          <w:szCs w:val="22"/>
        </w:rPr>
        <w:t>Les collectivités territoriales à statut particulier situées sur le territoire de la région ;</w:t>
      </w:r>
    </w:p>
    <w:p w:rsidR="00C5440F" w:rsidRPr="00C5440F" w:rsidRDefault="00C5440F" w:rsidP="00C5440F">
      <w:pPr>
        <w:pStyle w:val="dmodeles-petite-loiconfectiontexteloitexte"/>
        <w:spacing w:before="0" w:beforeAutospacing="0" w:after="0" w:afterAutospacing="0"/>
        <w:jc w:val="both"/>
        <w:rPr>
          <w:rFonts w:asciiTheme="minorHAnsi" w:hAnsiTheme="minorHAnsi" w:cs="Arial"/>
          <w:sz w:val="22"/>
          <w:szCs w:val="22"/>
        </w:rPr>
      </w:pPr>
      <w:r w:rsidRPr="00C5440F">
        <w:rPr>
          <w:rFonts w:asciiTheme="minorHAnsi" w:hAnsiTheme="minorHAnsi" w:cs="Arial"/>
          <w:sz w:val="22"/>
          <w:szCs w:val="22"/>
        </w:rPr>
        <w:t>5° Le conseil économique, social et environnemental régional ainsi que les chambres d’agriculture, les chambres de commerce et d’industrie, les chambres de métiers et de l’artisanat ;</w:t>
      </w:r>
    </w:p>
    <w:p w:rsidR="00C5440F" w:rsidRPr="00C5440F" w:rsidRDefault="00681A4B" w:rsidP="00C5440F">
      <w:pPr>
        <w:pStyle w:val="dmodeles-petite-loiconfectiontexteloitexte"/>
        <w:spacing w:before="0" w:beforeAutospacing="0" w:after="0" w:afterAutospacing="0"/>
        <w:jc w:val="both"/>
        <w:rPr>
          <w:rFonts w:asciiTheme="minorHAnsi" w:hAnsiTheme="minorHAnsi" w:cs="Arial"/>
          <w:sz w:val="22"/>
          <w:szCs w:val="22"/>
        </w:rPr>
      </w:pPr>
      <w:r>
        <w:rPr>
          <w:rFonts w:asciiTheme="minorHAnsi" w:hAnsiTheme="minorHAnsi" w:cs="Arial"/>
          <w:sz w:val="22"/>
          <w:szCs w:val="22"/>
        </w:rPr>
        <w:t>6° </w:t>
      </w:r>
      <w:r w:rsidR="00C5440F" w:rsidRPr="00C5440F">
        <w:rPr>
          <w:rFonts w:asciiTheme="minorHAnsi" w:hAnsiTheme="minorHAnsi" w:cs="Arial"/>
          <w:sz w:val="22"/>
          <w:szCs w:val="22"/>
        </w:rPr>
        <w:t>Le cas échéant, les comités de massifs ;</w:t>
      </w:r>
    </w:p>
    <w:p w:rsidR="00C5440F" w:rsidRPr="00C5440F" w:rsidRDefault="00C5440F" w:rsidP="00C5440F">
      <w:pPr>
        <w:pStyle w:val="dmodeles-petite-loiconfectiontexteloitexte"/>
        <w:spacing w:before="0" w:beforeAutospacing="0" w:after="0" w:afterAutospacing="0"/>
        <w:jc w:val="both"/>
        <w:rPr>
          <w:rFonts w:asciiTheme="minorHAnsi" w:hAnsiTheme="minorHAnsi" w:cs="Arial"/>
          <w:sz w:val="22"/>
          <w:szCs w:val="22"/>
        </w:rPr>
      </w:pPr>
      <w:r w:rsidRPr="00C5440F">
        <w:rPr>
          <w:rFonts w:asciiTheme="minorHAnsi" w:hAnsiTheme="minorHAnsi" w:cs="Arial"/>
          <w:sz w:val="22"/>
          <w:szCs w:val="22"/>
        </w:rPr>
        <w:t>7° Le conseil national de la mer et des littoraux.</w:t>
      </w:r>
    </w:p>
    <w:p w:rsidR="00D34B3D" w:rsidRDefault="00D34B3D" w:rsidP="00C5440F">
      <w:pPr>
        <w:pStyle w:val="dmodeles-petite-loiconfectiontexteloitexte"/>
        <w:spacing w:before="0" w:beforeAutospacing="0" w:after="0" w:afterAutospacing="0"/>
        <w:jc w:val="both"/>
        <w:rPr>
          <w:rFonts w:asciiTheme="minorHAnsi" w:hAnsiTheme="minorHAnsi" w:cs="Arial"/>
          <w:sz w:val="22"/>
          <w:szCs w:val="22"/>
        </w:rPr>
      </w:pPr>
    </w:p>
    <w:p w:rsidR="00C5440F" w:rsidRPr="00C5440F" w:rsidRDefault="00681A4B" w:rsidP="00C5440F">
      <w:pPr>
        <w:pStyle w:val="dmodeles-petite-loiconfectiontexteloitexte"/>
        <w:spacing w:before="0" w:beforeAutospacing="0" w:after="0" w:afterAutospacing="0"/>
        <w:jc w:val="both"/>
        <w:rPr>
          <w:rFonts w:asciiTheme="minorHAnsi" w:hAnsiTheme="minorHAnsi" w:cs="Arial"/>
          <w:sz w:val="22"/>
          <w:szCs w:val="22"/>
        </w:rPr>
      </w:pPr>
      <w:r>
        <w:rPr>
          <w:rFonts w:asciiTheme="minorHAnsi" w:hAnsiTheme="minorHAnsi" w:cs="Arial"/>
          <w:sz w:val="22"/>
          <w:szCs w:val="22"/>
        </w:rPr>
        <w:sym w:font="Wingdings" w:char="F071"/>
      </w:r>
      <w:r>
        <w:rPr>
          <w:rFonts w:asciiTheme="minorHAnsi" w:hAnsiTheme="minorHAnsi" w:cs="Arial"/>
          <w:sz w:val="22"/>
          <w:szCs w:val="22"/>
        </w:rPr>
        <w:t xml:space="preserve"> </w:t>
      </w:r>
      <w:r w:rsidR="00C5440F" w:rsidRPr="00C5440F">
        <w:rPr>
          <w:rFonts w:asciiTheme="minorHAnsi" w:hAnsiTheme="minorHAnsi" w:cs="Arial"/>
          <w:sz w:val="22"/>
          <w:szCs w:val="22"/>
        </w:rPr>
        <w:t>Le conseil régional peut consulter tout autre organisme ou personne en vue de l'élaboration du projet de schéma.</w:t>
      </w:r>
      <w:r>
        <w:rPr>
          <w:rFonts w:asciiTheme="minorHAnsi" w:hAnsiTheme="minorHAnsi" w:cs="Arial"/>
          <w:sz w:val="22"/>
          <w:szCs w:val="22"/>
        </w:rPr>
        <w:t xml:space="preserve"> </w:t>
      </w:r>
      <w:r w:rsidR="00C5440F" w:rsidRPr="00C5440F">
        <w:rPr>
          <w:rFonts w:asciiTheme="minorHAnsi" w:hAnsiTheme="minorHAnsi" w:cs="Arial"/>
          <w:sz w:val="22"/>
          <w:szCs w:val="22"/>
        </w:rPr>
        <w:t xml:space="preserve">La région associe les </w:t>
      </w:r>
      <w:r>
        <w:rPr>
          <w:rFonts w:asciiTheme="minorHAnsi" w:hAnsiTheme="minorHAnsi" w:cs="Arial"/>
          <w:sz w:val="22"/>
          <w:szCs w:val="22"/>
        </w:rPr>
        <w:t>conseils généraux et les EPCI à fiscalité propre</w:t>
      </w:r>
      <w:r w:rsidR="00C5440F" w:rsidRPr="00C5440F">
        <w:rPr>
          <w:rFonts w:asciiTheme="minorHAnsi" w:hAnsiTheme="minorHAnsi" w:cs="Arial"/>
          <w:sz w:val="22"/>
          <w:szCs w:val="22"/>
        </w:rPr>
        <w:t xml:space="preserve"> à la définition des modalités de mise en œuvre des orientations stratégiques et des objectifs du projet de schéma.</w:t>
      </w:r>
    </w:p>
    <w:p w:rsidR="00681A4B" w:rsidRDefault="00681A4B" w:rsidP="00C5440F">
      <w:pPr>
        <w:pStyle w:val="dmodeles-petite-loiconfectiontexteloitexte"/>
        <w:spacing w:before="0" w:beforeAutospacing="0" w:after="0" w:afterAutospacing="0"/>
        <w:jc w:val="both"/>
        <w:rPr>
          <w:rFonts w:asciiTheme="minorHAnsi" w:hAnsiTheme="minorHAnsi" w:cs="Arial"/>
          <w:sz w:val="22"/>
          <w:szCs w:val="22"/>
        </w:rPr>
      </w:pPr>
    </w:p>
    <w:p w:rsidR="00C5440F" w:rsidRPr="00C5440F" w:rsidRDefault="00C5440F" w:rsidP="00C5440F">
      <w:pPr>
        <w:pStyle w:val="dmodeles-petite-loiconfectiontexteloitexte"/>
        <w:spacing w:before="0" w:beforeAutospacing="0" w:after="0" w:afterAutospacing="0"/>
        <w:jc w:val="both"/>
        <w:rPr>
          <w:rFonts w:asciiTheme="minorHAnsi" w:hAnsiTheme="minorHAnsi" w:cs="Arial"/>
          <w:sz w:val="22"/>
          <w:szCs w:val="22"/>
        </w:rPr>
      </w:pPr>
      <w:r w:rsidRPr="00C5440F">
        <w:rPr>
          <w:rFonts w:asciiTheme="minorHAnsi" w:hAnsiTheme="minorHAnsi" w:cs="Arial"/>
          <w:sz w:val="22"/>
          <w:szCs w:val="22"/>
        </w:rPr>
        <w:t>Le projet de schéma est arrêté par le conseil régional. Il est</w:t>
      </w:r>
      <w:r w:rsidR="00681A4B">
        <w:rPr>
          <w:rFonts w:asciiTheme="minorHAnsi" w:hAnsiTheme="minorHAnsi" w:cs="Arial"/>
          <w:sz w:val="22"/>
          <w:szCs w:val="22"/>
        </w:rPr>
        <w:t xml:space="preserve"> notamment</w:t>
      </w:r>
      <w:r w:rsidRPr="00C5440F">
        <w:rPr>
          <w:rFonts w:asciiTheme="minorHAnsi" w:hAnsiTheme="minorHAnsi" w:cs="Arial"/>
          <w:sz w:val="22"/>
          <w:szCs w:val="22"/>
        </w:rPr>
        <w:t xml:space="preserve"> soumis pour avis </w:t>
      </w:r>
      <w:r w:rsidR="00681A4B">
        <w:rPr>
          <w:rFonts w:asciiTheme="minorHAnsi" w:hAnsiTheme="minorHAnsi" w:cs="Arial"/>
          <w:sz w:val="22"/>
          <w:szCs w:val="22"/>
        </w:rPr>
        <w:t>à</w:t>
      </w:r>
      <w:r w:rsidRPr="00C5440F">
        <w:rPr>
          <w:rFonts w:asciiTheme="minorHAnsi" w:hAnsiTheme="minorHAnsi" w:cs="Arial"/>
          <w:sz w:val="22"/>
          <w:szCs w:val="22"/>
        </w:rPr>
        <w:t xml:space="preserve"> l’autorité administrative de l’État compétente en matière d’environnement </w:t>
      </w:r>
      <w:r w:rsidR="00681A4B">
        <w:rPr>
          <w:rFonts w:asciiTheme="minorHAnsi" w:hAnsiTheme="minorHAnsi" w:cs="Arial"/>
          <w:sz w:val="22"/>
          <w:szCs w:val="22"/>
        </w:rPr>
        <w:t xml:space="preserve">et à </w:t>
      </w:r>
      <w:r w:rsidRPr="00C5440F">
        <w:rPr>
          <w:rFonts w:asciiTheme="minorHAnsi" w:hAnsiTheme="minorHAnsi" w:cs="Arial"/>
          <w:sz w:val="22"/>
          <w:szCs w:val="22"/>
        </w:rPr>
        <w:t>la conférence territoriale de l’action publique.</w:t>
      </w:r>
    </w:p>
    <w:p w:rsidR="00C5440F" w:rsidRPr="00C5440F" w:rsidRDefault="00C5440F" w:rsidP="00C5440F">
      <w:pPr>
        <w:pStyle w:val="dmodeles-petite-loiconfectiontexteloitexte"/>
        <w:spacing w:before="0" w:beforeAutospacing="0" w:after="0" w:afterAutospacing="0"/>
        <w:jc w:val="both"/>
        <w:rPr>
          <w:rFonts w:asciiTheme="minorHAnsi" w:hAnsiTheme="minorHAnsi" w:cs="Arial"/>
          <w:sz w:val="22"/>
          <w:szCs w:val="22"/>
        </w:rPr>
      </w:pPr>
      <w:r w:rsidRPr="00C5440F">
        <w:rPr>
          <w:rFonts w:asciiTheme="minorHAnsi" w:hAnsiTheme="minorHAnsi" w:cs="Arial"/>
          <w:sz w:val="22"/>
          <w:szCs w:val="22"/>
        </w:rPr>
        <w:t>L’avis est réputé favorable s’il n’a pas été rendu dans un délai de quatre mois à compter de sa transmission.</w:t>
      </w:r>
      <w:r w:rsidR="00681A4B">
        <w:rPr>
          <w:rFonts w:asciiTheme="minorHAnsi" w:hAnsiTheme="minorHAnsi" w:cs="Arial"/>
          <w:sz w:val="22"/>
          <w:szCs w:val="22"/>
        </w:rPr>
        <w:t xml:space="preserve"> Lorsqu’à l’expiration de ce délai</w:t>
      </w:r>
      <w:r w:rsidRPr="00C5440F">
        <w:rPr>
          <w:rFonts w:asciiTheme="minorHAnsi" w:hAnsiTheme="minorHAnsi" w:cs="Arial"/>
          <w:sz w:val="22"/>
          <w:szCs w:val="22"/>
        </w:rPr>
        <w:t xml:space="preserve">, au moins </w:t>
      </w:r>
      <w:r w:rsidR="00681A4B">
        <w:rPr>
          <w:rFonts w:asciiTheme="minorHAnsi" w:hAnsiTheme="minorHAnsi" w:cs="Arial"/>
          <w:sz w:val="22"/>
          <w:szCs w:val="22"/>
        </w:rPr>
        <w:t>3/5</w:t>
      </w:r>
      <w:r w:rsidRPr="00C5440F">
        <w:rPr>
          <w:rFonts w:asciiTheme="minorHAnsi" w:hAnsiTheme="minorHAnsi" w:cs="Arial"/>
          <w:sz w:val="22"/>
          <w:szCs w:val="22"/>
        </w:rPr>
        <w:t xml:space="preserve"> des </w:t>
      </w:r>
      <w:r w:rsidR="00681A4B">
        <w:rPr>
          <w:rFonts w:asciiTheme="minorHAnsi" w:hAnsiTheme="minorHAnsi" w:cs="Arial"/>
          <w:sz w:val="22"/>
          <w:szCs w:val="22"/>
        </w:rPr>
        <w:t>EPCI</w:t>
      </w:r>
      <w:r w:rsidRPr="00C5440F">
        <w:rPr>
          <w:rFonts w:asciiTheme="minorHAnsi" w:hAnsiTheme="minorHAnsi" w:cs="Arial"/>
          <w:sz w:val="22"/>
          <w:szCs w:val="22"/>
        </w:rPr>
        <w:t xml:space="preserve"> à fiscalité propre et la moitié des départements de la région ont émis un avis défavorable au projet de schéma, le conseil régional arrête un nouveau projet de schéma dans un délai de </w:t>
      </w:r>
      <w:r w:rsidR="00681A4B">
        <w:rPr>
          <w:rFonts w:asciiTheme="minorHAnsi" w:hAnsiTheme="minorHAnsi" w:cs="Arial"/>
          <w:sz w:val="22"/>
          <w:szCs w:val="22"/>
        </w:rPr>
        <w:t>3</w:t>
      </w:r>
      <w:r w:rsidRPr="00C5440F">
        <w:rPr>
          <w:rFonts w:asciiTheme="minorHAnsi" w:hAnsiTheme="minorHAnsi" w:cs="Arial"/>
          <w:sz w:val="22"/>
          <w:szCs w:val="22"/>
        </w:rPr>
        <w:t xml:space="preserve"> mois en tenant compte des observations </w:t>
      </w:r>
      <w:r w:rsidRPr="00C5440F">
        <w:rPr>
          <w:rFonts w:asciiTheme="minorHAnsi" w:hAnsiTheme="minorHAnsi" w:cs="Arial"/>
          <w:sz w:val="22"/>
          <w:szCs w:val="22"/>
        </w:rPr>
        <w:lastRenderedPageBreak/>
        <w:t xml:space="preserve">formulées. Ce projet est soumis pour avis à la </w:t>
      </w:r>
      <w:r w:rsidR="00681A4B">
        <w:rPr>
          <w:rFonts w:asciiTheme="minorHAnsi" w:hAnsiTheme="minorHAnsi" w:cs="Arial"/>
          <w:sz w:val="22"/>
          <w:szCs w:val="22"/>
        </w:rPr>
        <w:t>CTAP</w:t>
      </w:r>
      <w:r w:rsidRPr="00C5440F">
        <w:rPr>
          <w:rFonts w:asciiTheme="minorHAnsi" w:hAnsiTheme="minorHAnsi" w:cs="Arial"/>
          <w:sz w:val="22"/>
          <w:szCs w:val="22"/>
        </w:rPr>
        <w:t xml:space="preserve"> et peut être modifié pour tenir com</w:t>
      </w:r>
      <w:r w:rsidR="00681A4B">
        <w:rPr>
          <w:rFonts w:asciiTheme="minorHAnsi" w:hAnsiTheme="minorHAnsi" w:cs="Arial"/>
          <w:sz w:val="22"/>
          <w:szCs w:val="22"/>
        </w:rPr>
        <w:t>pte des observations formulées.</w:t>
      </w:r>
    </w:p>
    <w:p w:rsidR="00C5440F" w:rsidRPr="00C5440F" w:rsidRDefault="00C5440F" w:rsidP="00C5440F">
      <w:pPr>
        <w:pStyle w:val="dmodeles-petite-loiconfectiontexteloitexte"/>
        <w:spacing w:before="0" w:beforeAutospacing="0" w:after="0" w:afterAutospacing="0"/>
        <w:jc w:val="both"/>
        <w:rPr>
          <w:rFonts w:asciiTheme="minorHAnsi" w:hAnsiTheme="minorHAnsi" w:cs="Arial"/>
          <w:sz w:val="22"/>
          <w:szCs w:val="22"/>
        </w:rPr>
      </w:pPr>
      <w:r w:rsidRPr="00C5440F">
        <w:rPr>
          <w:rFonts w:asciiTheme="minorHAnsi" w:hAnsiTheme="minorHAnsi" w:cs="Arial"/>
          <w:sz w:val="22"/>
          <w:szCs w:val="22"/>
        </w:rPr>
        <w:t xml:space="preserve">Le </w:t>
      </w:r>
      <w:r w:rsidR="00681A4B">
        <w:rPr>
          <w:rFonts w:asciiTheme="minorHAnsi" w:hAnsiTheme="minorHAnsi" w:cs="Arial"/>
          <w:sz w:val="22"/>
          <w:szCs w:val="22"/>
        </w:rPr>
        <w:t>SRADDT</w:t>
      </w:r>
      <w:r w:rsidRPr="00C5440F">
        <w:rPr>
          <w:rFonts w:asciiTheme="minorHAnsi" w:hAnsiTheme="minorHAnsi" w:cs="Arial"/>
          <w:sz w:val="22"/>
          <w:szCs w:val="22"/>
        </w:rPr>
        <w:t xml:space="preserve"> est adopté par délibération du conseil régional dans l’année qui suit le renouvellement général des conseils régionaux.</w:t>
      </w:r>
      <w:r w:rsidR="00681A4B">
        <w:rPr>
          <w:rFonts w:asciiTheme="minorHAnsi" w:hAnsiTheme="minorHAnsi" w:cs="Arial"/>
          <w:sz w:val="22"/>
          <w:szCs w:val="22"/>
        </w:rPr>
        <w:t xml:space="preserve"> </w:t>
      </w:r>
      <w:r w:rsidRPr="00C5440F">
        <w:rPr>
          <w:rFonts w:asciiTheme="minorHAnsi" w:hAnsiTheme="minorHAnsi" w:cs="Arial"/>
          <w:sz w:val="22"/>
          <w:szCs w:val="22"/>
        </w:rPr>
        <w:t>Il est approuvé par arrêté du représentant de l’État dans la région</w:t>
      </w:r>
      <w:r w:rsidR="00681A4B">
        <w:rPr>
          <w:rFonts w:asciiTheme="minorHAnsi" w:hAnsiTheme="minorHAnsi" w:cs="Arial"/>
          <w:sz w:val="22"/>
          <w:szCs w:val="22"/>
        </w:rPr>
        <w:t>, qui</w:t>
      </w:r>
      <w:r w:rsidRPr="00C5440F">
        <w:rPr>
          <w:rFonts w:asciiTheme="minorHAnsi" w:hAnsiTheme="minorHAnsi" w:cs="Arial"/>
          <w:sz w:val="22"/>
          <w:szCs w:val="22"/>
        </w:rPr>
        <w:t xml:space="preserve"> s’assure du respect, par le conseil régional, de la procédure d’élaboration.</w:t>
      </w:r>
    </w:p>
    <w:p w:rsidR="00C5440F" w:rsidRPr="00C5440F" w:rsidRDefault="00C5440F" w:rsidP="00C5440F">
      <w:pPr>
        <w:pStyle w:val="dmodeles-petite-loiconfectiontexteloitexte"/>
        <w:spacing w:before="0" w:beforeAutospacing="0" w:after="0" w:afterAutospacing="0"/>
        <w:jc w:val="both"/>
        <w:rPr>
          <w:rFonts w:asciiTheme="minorHAnsi" w:hAnsiTheme="minorHAnsi" w:cs="Arial"/>
          <w:sz w:val="22"/>
          <w:szCs w:val="22"/>
        </w:rPr>
      </w:pPr>
      <w:r w:rsidRPr="00C5440F">
        <w:rPr>
          <w:rFonts w:asciiTheme="minorHAnsi" w:hAnsiTheme="minorHAnsi" w:cs="Arial"/>
          <w:sz w:val="22"/>
          <w:szCs w:val="22"/>
        </w:rPr>
        <w:t>S’il n’approuve pas le schéma, le représentant de l’État dans la région en informe le conseil régional par une décision motivée, qui précise les modifications à apporter au schéma. Le conseil rég</w:t>
      </w:r>
      <w:r w:rsidR="00681A4B">
        <w:rPr>
          <w:rFonts w:asciiTheme="minorHAnsi" w:hAnsiTheme="minorHAnsi" w:cs="Arial"/>
          <w:sz w:val="22"/>
          <w:szCs w:val="22"/>
        </w:rPr>
        <w:t>ional dispose d’un délai de 3</w:t>
      </w:r>
      <w:r w:rsidRPr="00C5440F">
        <w:rPr>
          <w:rFonts w:asciiTheme="minorHAnsi" w:hAnsiTheme="minorHAnsi" w:cs="Arial"/>
          <w:sz w:val="22"/>
          <w:szCs w:val="22"/>
        </w:rPr>
        <w:t xml:space="preserve"> mois à compter de sa notification pour prendre en compte les modifications demandées.</w:t>
      </w:r>
    </w:p>
    <w:p w:rsidR="00C5440F" w:rsidRDefault="00C5440F" w:rsidP="00044373">
      <w:pPr>
        <w:spacing w:after="0" w:line="240" w:lineRule="auto"/>
        <w:jc w:val="both"/>
        <w:rPr>
          <w:rFonts w:eastAsia="Times New Roman" w:cs="Arial"/>
        </w:rPr>
      </w:pPr>
    </w:p>
    <w:p w:rsidR="00C5440F" w:rsidRPr="00851D6F" w:rsidRDefault="00C5440F" w:rsidP="00C5440F">
      <w:pPr>
        <w:pStyle w:val="Paragraphedeliste"/>
        <w:numPr>
          <w:ilvl w:val="0"/>
          <w:numId w:val="14"/>
        </w:numPr>
        <w:spacing w:after="0" w:line="240" w:lineRule="auto"/>
        <w:jc w:val="both"/>
        <w:rPr>
          <w:rFonts w:eastAsia="Times New Roman" w:cs="Arial"/>
          <w:u w:val="single"/>
        </w:rPr>
      </w:pPr>
      <w:r w:rsidRPr="00851D6F">
        <w:rPr>
          <w:rFonts w:eastAsia="Times New Roman" w:cs="Arial"/>
          <w:u w:val="single"/>
        </w:rPr>
        <w:t>Mesures transitoires</w:t>
      </w:r>
    </w:p>
    <w:p w:rsidR="00C5440F" w:rsidRDefault="00C5440F" w:rsidP="00044373">
      <w:pPr>
        <w:spacing w:after="0" w:line="240" w:lineRule="auto"/>
        <w:jc w:val="both"/>
        <w:rPr>
          <w:rFonts w:eastAsia="Times New Roman" w:cs="Arial"/>
        </w:rPr>
      </w:pPr>
    </w:p>
    <w:p w:rsidR="00C5440F" w:rsidRPr="00044373" w:rsidRDefault="00B75B9A" w:rsidP="00044373">
      <w:pPr>
        <w:spacing w:after="0" w:line="240" w:lineRule="auto"/>
        <w:jc w:val="both"/>
        <w:rPr>
          <w:rFonts w:eastAsia="Times New Roman" w:cs="Arial"/>
        </w:rPr>
      </w:pPr>
      <w:r>
        <w:rPr>
          <w:rFonts w:eastAsia="Times New Roman" w:cs="Arial"/>
          <w:b/>
          <w:u w:val="single"/>
        </w:rPr>
        <w:sym w:font="Wingdings" w:char="F071"/>
      </w:r>
      <w:r>
        <w:rPr>
          <w:rFonts w:eastAsia="Times New Roman" w:cs="Arial"/>
          <w:b/>
          <w:u w:val="single"/>
        </w:rPr>
        <w:t xml:space="preserve"> </w:t>
      </w:r>
      <w:r w:rsidR="00C5440F" w:rsidRPr="00623EC8">
        <w:rPr>
          <w:rFonts w:eastAsia="Times New Roman" w:cs="Arial"/>
          <w:b/>
          <w:u w:val="single"/>
        </w:rPr>
        <w:t>A l’initiative du Groupe RDSE</w:t>
      </w:r>
      <w:r w:rsidR="00C5440F" w:rsidRPr="00C5440F">
        <w:t xml:space="preserve">, </w:t>
      </w:r>
      <w:r w:rsidR="00C5440F" w:rsidRPr="00623EC8">
        <w:t xml:space="preserve">le premier </w:t>
      </w:r>
      <w:r w:rsidR="00A3753B">
        <w:t>SRADDT</w:t>
      </w:r>
      <w:r w:rsidR="00401246">
        <w:t xml:space="preserve"> devra être</w:t>
      </w:r>
      <w:r w:rsidR="00C5440F" w:rsidRPr="00623EC8">
        <w:t xml:space="preserve"> </w:t>
      </w:r>
      <w:r w:rsidR="00C5440F" w:rsidRPr="00AE5A45">
        <w:rPr>
          <w:b/>
          <w:u w:val="single"/>
        </w:rPr>
        <w:t>adopté dans un délai de dix-huit mois à compter du prochain renouvellement général des conseils régionaux</w:t>
      </w:r>
      <w:r w:rsidR="00C5440F" w:rsidRPr="00C5440F">
        <w:t>.</w:t>
      </w:r>
    </w:p>
    <w:p w:rsidR="00BA5FF5" w:rsidRPr="00896F11" w:rsidRDefault="00BA5FF5" w:rsidP="00896F11">
      <w:pPr>
        <w:spacing w:after="0" w:line="240" w:lineRule="auto"/>
        <w:jc w:val="both"/>
        <w:rPr>
          <w:rFonts w:eastAsia="Times New Roman" w:cs="Arial"/>
        </w:rPr>
      </w:pPr>
    </w:p>
    <w:p w:rsidR="00BA5FF5" w:rsidRPr="00896F11" w:rsidRDefault="00AE5A45" w:rsidP="00AE5A45">
      <w:pPr>
        <w:spacing w:after="0"/>
        <w:jc w:val="both"/>
        <w:rPr>
          <w:rFonts w:cs="Arial"/>
        </w:rPr>
      </w:pPr>
      <w:r>
        <w:rPr>
          <w:rFonts w:eastAsia="Calibri"/>
        </w:rPr>
        <w:t>Par ailleurs, à l’article 7, il est précisé que les procédures d’élaboration et de révision d’un SRAD</w:t>
      </w:r>
      <w:r w:rsidR="00A3753B">
        <w:rPr>
          <w:rFonts w:eastAsia="Calibri"/>
        </w:rPr>
        <w:t>D</w:t>
      </w:r>
      <w:r>
        <w:rPr>
          <w:rFonts w:eastAsia="Calibri"/>
        </w:rPr>
        <w:t>T engagées avant la publication de la présente loi demeurent régies par l’article 34 de la loi n° 83-8 du 7 janvier 1983 relative à la répartition des compétences entre les communes, les départements, les régions et l’État, dans sa rédaction en vigueur à la promulgation de la présente loi.</w:t>
      </w:r>
    </w:p>
    <w:p w:rsidR="00BA5FF5" w:rsidRDefault="00BA5FF5" w:rsidP="00896F11">
      <w:pPr>
        <w:spacing w:after="0"/>
        <w:rPr>
          <w:rFonts w:cs="Arial"/>
        </w:rPr>
      </w:pPr>
    </w:p>
    <w:p w:rsidR="00FE4A93" w:rsidRPr="007412BF" w:rsidRDefault="00FE4A93" w:rsidP="00FE4A93">
      <w:pPr>
        <w:pStyle w:val="Paragraphedeliste"/>
        <w:numPr>
          <w:ilvl w:val="0"/>
          <w:numId w:val="15"/>
        </w:numPr>
        <w:spacing w:after="0"/>
        <w:rPr>
          <w:rFonts w:cs="Arial"/>
          <w:u w:val="single"/>
        </w:rPr>
      </w:pPr>
      <w:r w:rsidRPr="007412BF">
        <w:rPr>
          <w:rFonts w:cs="Arial"/>
          <w:b/>
          <w:u w:val="single"/>
        </w:rPr>
        <w:t>Sur les</w:t>
      </w:r>
      <w:r w:rsidRPr="007412BF">
        <w:rPr>
          <w:rFonts w:cs="Arial"/>
          <w:u w:val="single"/>
        </w:rPr>
        <w:t xml:space="preserve"> </w:t>
      </w:r>
      <w:r w:rsidRPr="007412BF">
        <w:rPr>
          <w:rStyle w:val="lev"/>
          <w:u w:val="single"/>
        </w:rPr>
        <w:t>chartes régionales d’aménagement</w:t>
      </w:r>
      <w:r w:rsidRPr="007412BF">
        <w:rPr>
          <w:rFonts w:cs="Arial"/>
          <w:u w:val="single"/>
        </w:rPr>
        <w:t xml:space="preserve"> </w:t>
      </w:r>
      <w:r w:rsidRPr="007412BF">
        <w:rPr>
          <w:rFonts w:cs="Arial"/>
          <w:b/>
          <w:u w:val="single"/>
        </w:rPr>
        <w:t xml:space="preserve">(Article </w:t>
      </w:r>
      <w:proofErr w:type="spellStart"/>
      <w:r w:rsidRPr="007412BF">
        <w:rPr>
          <w:rFonts w:cs="Arial"/>
          <w:b/>
          <w:u w:val="single"/>
        </w:rPr>
        <w:t>add</w:t>
      </w:r>
      <w:proofErr w:type="spellEnd"/>
      <w:r w:rsidRPr="007412BF">
        <w:rPr>
          <w:rFonts w:cs="Arial"/>
          <w:b/>
          <w:u w:val="single"/>
        </w:rPr>
        <w:t xml:space="preserve"> </w:t>
      </w:r>
      <w:r w:rsidR="007412BF" w:rsidRPr="007412BF">
        <w:rPr>
          <w:rFonts w:cs="Arial"/>
          <w:b/>
          <w:u w:val="single"/>
        </w:rPr>
        <w:t>après</w:t>
      </w:r>
      <w:r w:rsidRPr="007412BF">
        <w:rPr>
          <w:rFonts w:cs="Arial"/>
          <w:b/>
          <w:u w:val="single"/>
        </w:rPr>
        <w:t xml:space="preserve"> l’article 6)</w:t>
      </w:r>
    </w:p>
    <w:p w:rsidR="00FE4A93" w:rsidRPr="00FE4A93" w:rsidRDefault="00B75B9A" w:rsidP="00FE4A93">
      <w:pPr>
        <w:spacing w:after="0"/>
        <w:rPr>
          <w:rFonts w:cs="Arial"/>
        </w:rPr>
      </w:pPr>
      <w:r>
        <w:t xml:space="preserve">Un </w:t>
      </w:r>
      <w:r w:rsidR="00FE4A93">
        <w:t xml:space="preserve">article </w:t>
      </w:r>
      <w:r w:rsidR="00FE4A93">
        <w:rPr>
          <w:u w:val="single"/>
        </w:rPr>
        <w:t>additionnel après l’article 6</w:t>
      </w:r>
      <w:r w:rsidR="00FE4A93">
        <w:t xml:space="preserve"> </w:t>
      </w:r>
      <w:r>
        <w:t>crée</w:t>
      </w:r>
      <w:r w:rsidR="00FE4A93">
        <w:t xml:space="preserve"> des </w:t>
      </w:r>
      <w:r w:rsidR="00FE4A93">
        <w:rPr>
          <w:rStyle w:val="lev"/>
        </w:rPr>
        <w:t>chartes régionales d’aménagement</w:t>
      </w:r>
      <w:r w:rsidR="00E276E0">
        <w:rPr>
          <w:rStyle w:val="lev"/>
        </w:rPr>
        <w:t>.</w:t>
      </w:r>
    </w:p>
    <w:p w:rsidR="00FE4A93" w:rsidRPr="00896F11" w:rsidRDefault="00FE4A93" w:rsidP="00896F11">
      <w:pPr>
        <w:spacing w:after="0"/>
        <w:rPr>
          <w:rFonts w:cs="Arial"/>
        </w:rPr>
      </w:pPr>
    </w:p>
    <w:p w:rsidR="00D57BEC" w:rsidRPr="000530CF" w:rsidRDefault="000530CF" w:rsidP="000530CF">
      <w:pPr>
        <w:pStyle w:val="Paragraphedeliste"/>
        <w:numPr>
          <w:ilvl w:val="0"/>
          <w:numId w:val="15"/>
        </w:numPr>
        <w:spacing w:after="0"/>
        <w:rPr>
          <w:rFonts w:cs="Arial"/>
          <w:b/>
          <w:u w:val="single"/>
        </w:rPr>
      </w:pPr>
      <w:r w:rsidRPr="000530CF">
        <w:rPr>
          <w:rFonts w:cs="Arial"/>
          <w:b/>
          <w:u w:val="single"/>
        </w:rPr>
        <w:t>Sur la suppression des schémas de développement commercial</w:t>
      </w:r>
      <w:r w:rsidR="00570D28">
        <w:rPr>
          <w:rFonts w:cs="Arial"/>
          <w:b/>
          <w:u w:val="single"/>
        </w:rPr>
        <w:t xml:space="preserve"> (art. 7 bis)</w:t>
      </w:r>
    </w:p>
    <w:p w:rsidR="000530CF" w:rsidRPr="000530CF" w:rsidRDefault="001347AE" w:rsidP="000530CF">
      <w:pPr>
        <w:pStyle w:val="NormalWeb"/>
        <w:spacing w:before="0" w:beforeAutospacing="0" w:after="0" w:afterAutospacing="0"/>
        <w:jc w:val="both"/>
        <w:rPr>
          <w:rFonts w:asciiTheme="minorHAnsi" w:eastAsia="Calibri" w:hAnsiTheme="minorHAnsi" w:cstheme="minorBidi"/>
          <w:b/>
          <w:sz w:val="22"/>
          <w:szCs w:val="22"/>
        </w:rPr>
      </w:pPr>
      <w:r>
        <w:rPr>
          <w:rFonts w:asciiTheme="minorHAnsi" w:eastAsia="Calibri" w:hAnsiTheme="minorHAnsi" w:cstheme="minorBidi"/>
          <w:b/>
          <w:sz w:val="22"/>
          <w:szCs w:val="22"/>
        </w:rPr>
        <w:sym w:font="Wingdings" w:char="F071"/>
      </w:r>
      <w:r>
        <w:rPr>
          <w:rFonts w:asciiTheme="minorHAnsi" w:eastAsia="Calibri" w:hAnsiTheme="minorHAnsi" w:cstheme="minorBidi"/>
          <w:b/>
          <w:sz w:val="22"/>
          <w:szCs w:val="22"/>
        </w:rPr>
        <w:t xml:space="preserve"> </w:t>
      </w:r>
      <w:r w:rsidR="000530CF" w:rsidRPr="000530CF">
        <w:rPr>
          <w:rFonts w:asciiTheme="minorHAnsi" w:eastAsia="Calibri" w:hAnsiTheme="minorHAnsi" w:cstheme="minorBidi"/>
          <w:b/>
          <w:sz w:val="22"/>
          <w:szCs w:val="22"/>
        </w:rPr>
        <w:t xml:space="preserve">A l’initiative du RDSE, un article additionnel </w:t>
      </w:r>
      <w:r w:rsidR="000530CF" w:rsidRPr="000530CF">
        <w:rPr>
          <w:rFonts w:asciiTheme="minorHAnsi" w:eastAsia="Calibri" w:hAnsiTheme="minorHAnsi" w:cstheme="minorBidi"/>
          <w:b/>
          <w:sz w:val="22"/>
          <w:szCs w:val="22"/>
          <w:u w:val="single"/>
        </w:rPr>
        <w:t>7 bis</w:t>
      </w:r>
      <w:r w:rsidR="000530CF" w:rsidRPr="000530CF">
        <w:rPr>
          <w:rFonts w:asciiTheme="minorHAnsi" w:eastAsia="Calibri" w:hAnsiTheme="minorHAnsi" w:cstheme="minorBidi"/>
          <w:b/>
          <w:sz w:val="22"/>
          <w:szCs w:val="22"/>
        </w:rPr>
        <w:t xml:space="preserve"> a été adopté, procédant à la suppression à la fois des observatoires départementaux d'équipement commercial et des schémas de développement commercial.</w:t>
      </w:r>
    </w:p>
    <w:p w:rsidR="000530CF" w:rsidRDefault="000530CF" w:rsidP="000530CF">
      <w:pPr>
        <w:pStyle w:val="NormalWeb"/>
        <w:spacing w:before="0" w:beforeAutospacing="0" w:after="0" w:afterAutospacing="0"/>
        <w:jc w:val="both"/>
        <w:rPr>
          <w:rFonts w:asciiTheme="minorHAnsi" w:eastAsia="Calibri" w:hAnsiTheme="minorHAnsi" w:cstheme="minorBidi"/>
          <w:sz w:val="22"/>
          <w:szCs w:val="22"/>
        </w:rPr>
      </w:pPr>
    </w:p>
    <w:p w:rsidR="000530CF" w:rsidRPr="000530CF" w:rsidRDefault="000530CF" w:rsidP="000530CF">
      <w:pPr>
        <w:pStyle w:val="NormalWeb"/>
        <w:spacing w:before="0" w:beforeAutospacing="0" w:after="0" w:afterAutospacing="0"/>
        <w:jc w:val="both"/>
        <w:rPr>
          <w:rFonts w:asciiTheme="minorHAnsi" w:eastAsia="Calibri" w:hAnsiTheme="minorHAnsi" w:cstheme="minorBidi"/>
          <w:sz w:val="22"/>
          <w:szCs w:val="22"/>
        </w:rPr>
      </w:pPr>
      <w:r w:rsidRPr="000530CF">
        <w:rPr>
          <w:rFonts w:asciiTheme="minorHAnsi" w:eastAsia="Calibri" w:hAnsiTheme="minorHAnsi" w:cstheme="minorBidi"/>
          <w:sz w:val="22"/>
          <w:szCs w:val="22"/>
        </w:rPr>
        <w:t>Les orientations des schémas de développement commercial ont été intégrées, depuis la loi Grenelle II, aux SCOT, qui définissent « les objectifs relatifs à l’équipement commercial et artisanal et aux localisations préférentielles des commerces » et les zones d’aménagement commercial.</w:t>
      </w:r>
    </w:p>
    <w:p w:rsidR="000530CF" w:rsidRPr="000530CF" w:rsidRDefault="000530CF" w:rsidP="000530CF">
      <w:pPr>
        <w:pStyle w:val="NormalWeb"/>
        <w:spacing w:before="0" w:beforeAutospacing="0" w:after="0" w:afterAutospacing="0"/>
        <w:jc w:val="both"/>
        <w:rPr>
          <w:rFonts w:asciiTheme="minorHAnsi" w:eastAsia="Calibri" w:hAnsiTheme="minorHAnsi" w:cstheme="minorBidi"/>
          <w:sz w:val="22"/>
          <w:szCs w:val="22"/>
        </w:rPr>
      </w:pPr>
      <w:r w:rsidRPr="000530CF">
        <w:rPr>
          <w:rFonts w:asciiTheme="minorHAnsi" w:eastAsia="Calibri" w:hAnsiTheme="minorHAnsi" w:cstheme="minorBidi"/>
          <w:sz w:val="22"/>
          <w:szCs w:val="22"/>
        </w:rPr>
        <w:t>Le caractère explicitement facultatif des SDC, ainsi que la confirmation du rapport de non-contrariété ou "compatibilité" entre les SDC et les SCOT, maintenu par l'</w:t>
      </w:r>
      <w:hyperlink r:id="rId10" w:history="1">
        <w:r w:rsidRPr="000530CF">
          <w:rPr>
            <w:rFonts w:asciiTheme="minorHAnsi" w:eastAsia="Calibri" w:hAnsiTheme="minorHAnsi" w:cstheme="minorBidi"/>
            <w:sz w:val="22"/>
            <w:szCs w:val="22"/>
          </w:rPr>
          <w:t>article L. 122-1 du Code de l'urbanisme</w:t>
        </w:r>
      </w:hyperlink>
      <w:r w:rsidRPr="000530CF">
        <w:rPr>
          <w:rFonts w:asciiTheme="minorHAnsi" w:eastAsia="Calibri" w:hAnsiTheme="minorHAnsi" w:cstheme="minorBidi"/>
          <w:sz w:val="22"/>
          <w:szCs w:val="22"/>
        </w:rPr>
        <w:t>, ne laisse pas grande illusion sur la portée juridique de ces documents statistiques et prospectifs. On peut même s'interroger sur leur intérêt pratique, dans la mesure où le contrôle des densités commerciales reposant sur l'inventaire des équipements, déterminant dans le processus antérieur de décision, a disparu avec la réforme.</w:t>
      </w:r>
    </w:p>
    <w:p w:rsidR="000530CF" w:rsidRDefault="000530CF" w:rsidP="000530CF">
      <w:pPr>
        <w:pStyle w:val="NormalWeb"/>
        <w:spacing w:before="0" w:beforeAutospacing="0" w:after="0" w:afterAutospacing="0"/>
        <w:jc w:val="both"/>
        <w:rPr>
          <w:rFonts w:asciiTheme="minorHAnsi" w:eastAsia="Calibri" w:hAnsiTheme="minorHAnsi" w:cstheme="minorBidi"/>
          <w:sz w:val="22"/>
          <w:szCs w:val="22"/>
        </w:rPr>
      </w:pPr>
    </w:p>
    <w:p w:rsidR="000530CF" w:rsidRPr="000530CF" w:rsidRDefault="000530CF" w:rsidP="000530CF">
      <w:pPr>
        <w:pStyle w:val="NormalWeb"/>
        <w:spacing w:before="0" w:beforeAutospacing="0" w:after="0" w:afterAutospacing="0"/>
        <w:jc w:val="both"/>
        <w:rPr>
          <w:rFonts w:asciiTheme="minorHAnsi" w:eastAsia="Calibri" w:hAnsiTheme="minorHAnsi" w:cstheme="minorBidi"/>
          <w:sz w:val="22"/>
          <w:szCs w:val="22"/>
        </w:rPr>
      </w:pPr>
      <w:r w:rsidRPr="000530CF">
        <w:rPr>
          <w:rFonts w:asciiTheme="minorHAnsi" w:eastAsia="Calibri" w:hAnsiTheme="minorHAnsi" w:cstheme="minorBidi"/>
          <w:sz w:val="22"/>
          <w:szCs w:val="22"/>
        </w:rPr>
        <w:t>Cette suppression a notamment été préconisée par le rapport du Conseil d’Etat sur le droit souple en 2013.</w:t>
      </w:r>
    </w:p>
    <w:p w:rsidR="000530CF" w:rsidRDefault="000530CF" w:rsidP="000530CF">
      <w:pPr>
        <w:spacing w:after="0"/>
        <w:rPr>
          <w:rFonts w:cs="Arial"/>
        </w:rPr>
      </w:pPr>
    </w:p>
    <w:p w:rsidR="00F2023C" w:rsidRPr="00F2023C" w:rsidRDefault="00F2023C" w:rsidP="00F2023C">
      <w:pPr>
        <w:pStyle w:val="Paragraphedeliste"/>
        <w:numPr>
          <w:ilvl w:val="0"/>
          <w:numId w:val="15"/>
        </w:numPr>
        <w:spacing w:after="0"/>
        <w:rPr>
          <w:rFonts w:cs="Arial"/>
          <w:b/>
          <w:u w:val="single"/>
        </w:rPr>
      </w:pPr>
      <w:r w:rsidRPr="00F2023C">
        <w:rPr>
          <w:rFonts w:cs="Arial"/>
          <w:b/>
          <w:u w:val="single"/>
        </w:rPr>
        <w:t>Sur le transfert des transports vers la région</w:t>
      </w:r>
      <w:r>
        <w:rPr>
          <w:rFonts w:cs="Arial"/>
          <w:b/>
          <w:u w:val="single"/>
        </w:rPr>
        <w:t xml:space="preserve"> (article 8)</w:t>
      </w:r>
    </w:p>
    <w:p w:rsidR="00F2023C" w:rsidRDefault="00F2023C" w:rsidP="00E824C5">
      <w:pPr>
        <w:spacing w:after="0"/>
        <w:jc w:val="both"/>
        <w:rPr>
          <w:rFonts w:eastAsia="Calibri"/>
          <w:u w:val="single"/>
        </w:rPr>
      </w:pPr>
      <w:r>
        <w:rPr>
          <w:rFonts w:eastAsia="Calibri"/>
        </w:rPr>
        <w:sym w:font="Wingdings" w:char="F071"/>
      </w:r>
      <w:r>
        <w:rPr>
          <w:rFonts w:eastAsia="Calibri"/>
        </w:rPr>
        <w:t xml:space="preserve"> </w:t>
      </w:r>
      <w:r w:rsidRPr="00F2023C">
        <w:rPr>
          <w:rFonts w:eastAsia="Calibri"/>
          <w:b/>
        </w:rPr>
        <w:t>A compter du 1</w:t>
      </w:r>
      <w:r w:rsidRPr="00F2023C">
        <w:rPr>
          <w:rFonts w:eastAsia="Calibri"/>
          <w:b/>
          <w:vertAlign w:val="superscript"/>
        </w:rPr>
        <w:t>er</w:t>
      </w:r>
      <w:r w:rsidRPr="00F2023C">
        <w:rPr>
          <w:rFonts w:eastAsia="Calibri"/>
          <w:b/>
        </w:rPr>
        <w:t xml:space="preserve"> janvier 2017</w:t>
      </w:r>
      <w:r>
        <w:rPr>
          <w:rFonts w:eastAsia="Calibri"/>
        </w:rPr>
        <w:t>, les services non urbains, réguliers, sont organisés par la région,</w:t>
      </w:r>
      <w:r>
        <w:t xml:space="preserve"> </w:t>
      </w:r>
      <w:r w:rsidRPr="00F2023C">
        <w:rPr>
          <w:rFonts w:eastAsia="Calibri"/>
        </w:rPr>
        <w:t>à l’exclusion :</w:t>
      </w:r>
    </w:p>
    <w:p w:rsidR="00F2023C" w:rsidRPr="00F2023C" w:rsidRDefault="00F2023C" w:rsidP="00F2023C">
      <w:pPr>
        <w:pStyle w:val="Paragraphedeliste"/>
        <w:numPr>
          <w:ilvl w:val="0"/>
          <w:numId w:val="16"/>
        </w:numPr>
        <w:spacing w:after="0" w:line="240" w:lineRule="auto"/>
        <w:ind w:left="714" w:hanging="357"/>
        <w:rPr>
          <w:rFonts w:cs="Arial"/>
        </w:rPr>
      </w:pPr>
      <w:r w:rsidRPr="00F2023C">
        <w:rPr>
          <w:rFonts w:eastAsia="Calibri"/>
        </w:rPr>
        <w:t>des services de transport spécial des élèves handicapés vers les établissements scolaires</w:t>
      </w:r>
      <w:r w:rsidR="00E824C5">
        <w:rPr>
          <w:rFonts w:eastAsia="Calibri"/>
        </w:rPr>
        <w:t xml:space="preserve"> (amendement du Gouvernement) ;</w:t>
      </w:r>
    </w:p>
    <w:p w:rsidR="00F2023C" w:rsidRDefault="00F2023C" w:rsidP="00F2023C">
      <w:pPr>
        <w:pStyle w:val="Paragraphedeliste"/>
        <w:numPr>
          <w:ilvl w:val="0"/>
          <w:numId w:val="16"/>
        </w:numPr>
        <w:spacing w:after="0" w:line="240" w:lineRule="auto"/>
        <w:ind w:left="714" w:hanging="357"/>
        <w:rPr>
          <w:rFonts w:cs="Arial"/>
        </w:rPr>
      </w:pPr>
      <w:r w:rsidRPr="00F2023C">
        <w:rPr>
          <w:rFonts w:cs="Arial"/>
          <w:b/>
          <w:u w:val="single"/>
        </w:rPr>
        <w:lastRenderedPageBreak/>
        <w:t>des transports non urbains à la demande, dont la compétence reste aux départements (à l’initiative d’un amendement RDSE)</w:t>
      </w:r>
      <w:r>
        <w:rPr>
          <w:rFonts w:cs="Arial"/>
        </w:rPr>
        <w:t>.</w:t>
      </w:r>
    </w:p>
    <w:p w:rsidR="00F2023C" w:rsidRDefault="00F2023C" w:rsidP="00F2023C">
      <w:pPr>
        <w:spacing w:after="0" w:line="240" w:lineRule="auto"/>
        <w:rPr>
          <w:rFonts w:cs="Arial"/>
        </w:rPr>
      </w:pPr>
    </w:p>
    <w:p w:rsidR="00F2023C" w:rsidRPr="00F2023C" w:rsidRDefault="00F2023C" w:rsidP="00F2023C">
      <w:pPr>
        <w:spacing w:after="0" w:line="240" w:lineRule="auto"/>
        <w:jc w:val="both"/>
        <w:rPr>
          <w:rFonts w:cs="Arial"/>
        </w:rPr>
      </w:pPr>
      <w:r>
        <w:sym w:font="Wingdings" w:char="F071"/>
      </w:r>
      <w:r>
        <w:t xml:space="preserve"> Un amendement a été en séance, visant à préciser que la région organise les </w:t>
      </w:r>
      <w:r w:rsidRPr="00F2023C">
        <w:rPr>
          <w:b/>
        </w:rPr>
        <w:t>transports maritimes réguliers publics de personnes et de biens pour la desserte des îles françaises</w:t>
      </w:r>
      <w:r>
        <w:t>, sauf dans les cas où une île appartient au territoire d'une commune continentale. Elle peut conclure des conventions à durée déterminée avec des entreprises publiques ou privées pour assurer l'exercice de cette compétence.</w:t>
      </w:r>
    </w:p>
    <w:p w:rsidR="00F2023C" w:rsidRDefault="00F2023C" w:rsidP="00F2023C">
      <w:pPr>
        <w:spacing w:after="0"/>
        <w:rPr>
          <w:rFonts w:cs="Arial"/>
        </w:rPr>
      </w:pPr>
    </w:p>
    <w:p w:rsidR="006D2601" w:rsidRPr="006D2601" w:rsidRDefault="006D2601" w:rsidP="006D2601">
      <w:pPr>
        <w:pStyle w:val="Paragraphedeliste"/>
        <w:numPr>
          <w:ilvl w:val="0"/>
          <w:numId w:val="15"/>
        </w:numPr>
        <w:spacing w:after="0"/>
        <w:rPr>
          <w:rFonts w:cs="Arial"/>
          <w:b/>
          <w:u w:val="single"/>
        </w:rPr>
      </w:pPr>
      <w:r w:rsidRPr="006D2601">
        <w:rPr>
          <w:rFonts w:cs="Arial"/>
          <w:b/>
          <w:u w:val="single"/>
        </w:rPr>
        <w:t>Sur le transfert de la voirie départementale aux régions (article 9)</w:t>
      </w:r>
    </w:p>
    <w:p w:rsidR="006D2601" w:rsidRDefault="001347AE" w:rsidP="006D2601">
      <w:pPr>
        <w:spacing w:after="0"/>
        <w:jc w:val="both"/>
      </w:pPr>
      <w:r>
        <w:sym w:font="Wingdings" w:char="F071"/>
      </w:r>
      <w:r>
        <w:t xml:space="preserve"> </w:t>
      </w:r>
      <w:r w:rsidR="006D2601" w:rsidRPr="006D2601">
        <w:t>L'article 9 confiait à la région la gestion de la voirie relevant des départements, hors routes nationales ou communales, au 1er janvier 2017.</w:t>
      </w:r>
      <w:r w:rsidR="006D2601">
        <w:t xml:space="preserve"> Il a été supprimé par la Commission des lois.</w:t>
      </w:r>
    </w:p>
    <w:p w:rsidR="00F66B30" w:rsidRDefault="00F66B30" w:rsidP="006D2601">
      <w:pPr>
        <w:spacing w:after="0"/>
        <w:jc w:val="both"/>
      </w:pPr>
    </w:p>
    <w:p w:rsidR="00AB0E65" w:rsidRPr="00AB0E65" w:rsidRDefault="00AB0E65" w:rsidP="00A13943">
      <w:pPr>
        <w:pStyle w:val="Paragraphedeliste"/>
        <w:numPr>
          <w:ilvl w:val="0"/>
          <w:numId w:val="15"/>
        </w:numPr>
        <w:spacing w:after="0" w:line="240" w:lineRule="auto"/>
        <w:ind w:left="1560" w:hanging="357"/>
        <w:jc w:val="both"/>
        <w:rPr>
          <w:b/>
          <w:u w:val="single"/>
        </w:rPr>
      </w:pPr>
      <w:r>
        <w:rPr>
          <w:b/>
          <w:u w:val="single"/>
        </w:rPr>
        <w:t>Sur les p</w:t>
      </w:r>
      <w:r w:rsidRPr="00AB0E65">
        <w:rPr>
          <w:b/>
          <w:u w:val="single"/>
        </w:rPr>
        <w:t>ouvoirs du Président du conseil général en matière d’entretien des voies départementales</w:t>
      </w:r>
      <w:r>
        <w:rPr>
          <w:b/>
          <w:u w:val="single"/>
        </w:rPr>
        <w:t xml:space="preserve"> (article 9 bis)</w:t>
      </w:r>
    </w:p>
    <w:p w:rsidR="00AB0E65" w:rsidRDefault="00AB0E65" w:rsidP="006D2601">
      <w:pPr>
        <w:spacing w:after="0"/>
        <w:jc w:val="both"/>
      </w:pPr>
    </w:p>
    <w:p w:rsidR="00AB0E65" w:rsidRDefault="001347AE" w:rsidP="006D2601">
      <w:pPr>
        <w:spacing w:after="0"/>
        <w:jc w:val="both"/>
      </w:pPr>
      <w:r>
        <w:sym w:font="Wingdings" w:char="F071"/>
      </w:r>
      <w:r>
        <w:t xml:space="preserve"> </w:t>
      </w:r>
      <w:r w:rsidR="00AB0E65">
        <w:t xml:space="preserve">Un amendement du Rapporteur a été adopté, visant à préciser qu’en dehors des agglomérations, le président du conseil général exerce, en matière d’entretien des plantations privées pouvant constituer des menaces pour les voies départementales, les compétences attribuées au maire à l’article L. 2212-2-2 </w:t>
      </w:r>
      <w:r w:rsidR="008F13CD">
        <w:t>CGCT</w:t>
      </w:r>
      <w:r w:rsidR="00AB0E65">
        <w:t>. </w:t>
      </w:r>
    </w:p>
    <w:p w:rsidR="00AB0E65" w:rsidRDefault="00AB0E65" w:rsidP="006D2601">
      <w:pPr>
        <w:spacing w:after="0"/>
        <w:jc w:val="both"/>
      </w:pPr>
    </w:p>
    <w:p w:rsidR="00AB0E65" w:rsidRPr="00AB0E65" w:rsidRDefault="00AB0E65" w:rsidP="00AB0E65">
      <w:pPr>
        <w:pStyle w:val="Paragraphedeliste"/>
        <w:numPr>
          <w:ilvl w:val="0"/>
          <w:numId w:val="15"/>
        </w:numPr>
        <w:spacing w:after="0"/>
        <w:jc w:val="both"/>
        <w:rPr>
          <w:b/>
          <w:u w:val="single"/>
        </w:rPr>
      </w:pPr>
      <w:r w:rsidRPr="00AB0E65">
        <w:rPr>
          <w:b/>
          <w:u w:val="single"/>
        </w:rPr>
        <w:t>Sur le transfert des aérodromes</w:t>
      </w:r>
      <w:r>
        <w:rPr>
          <w:b/>
          <w:u w:val="single"/>
        </w:rPr>
        <w:t xml:space="preserve"> (article 10)</w:t>
      </w:r>
    </w:p>
    <w:p w:rsidR="00AB0E65" w:rsidRDefault="001347AE" w:rsidP="00AB0E65">
      <w:pPr>
        <w:spacing w:after="0"/>
        <w:jc w:val="both"/>
      </w:pPr>
      <w:r>
        <w:sym w:font="Wingdings" w:char="F071"/>
      </w:r>
      <w:r>
        <w:t xml:space="preserve"> </w:t>
      </w:r>
      <w:r w:rsidR="00AB0E65" w:rsidRPr="00AB0E65">
        <w:t>L'article 10 a maintenu la possibilité de transférer, au cas par cas, les aérodromes à des collectivités territoriales.</w:t>
      </w:r>
    </w:p>
    <w:p w:rsidR="00473B3E" w:rsidRDefault="00473B3E" w:rsidP="00AB0E65">
      <w:pPr>
        <w:spacing w:after="0"/>
        <w:jc w:val="both"/>
      </w:pPr>
    </w:p>
    <w:p w:rsidR="00473B3E" w:rsidRPr="00473B3E" w:rsidRDefault="00473B3E" w:rsidP="00473B3E">
      <w:pPr>
        <w:pStyle w:val="Paragraphedeliste"/>
        <w:numPr>
          <w:ilvl w:val="0"/>
          <w:numId w:val="15"/>
        </w:numPr>
        <w:spacing w:after="0"/>
        <w:jc w:val="both"/>
        <w:rPr>
          <w:b/>
          <w:u w:val="single"/>
        </w:rPr>
      </w:pPr>
      <w:r w:rsidRPr="00473B3E">
        <w:rPr>
          <w:b/>
          <w:u w:val="single"/>
        </w:rPr>
        <w:t>Sur le transfert des ports maritimes et intérieurs (article 11)</w:t>
      </w:r>
    </w:p>
    <w:p w:rsidR="00473B3E" w:rsidRDefault="001347AE" w:rsidP="00473B3E">
      <w:pPr>
        <w:spacing w:after="0"/>
        <w:jc w:val="both"/>
      </w:pPr>
      <w:r>
        <w:sym w:font="Wingdings" w:char="F071"/>
      </w:r>
      <w:r>
        <w:t xml:space="preserve"> </w:t>
      </w:r>
      <w:r w:rsidR="00473B3E">
        <w:t>La suppression de ce transfert a été maintenue.</w:t>
      </w:r>
    </w:p>
    <w:p w:rsidR="00473B3E" w:rsidRDefault="00473B3E" w:rsidP="00473B3E">
      <w:pPr>
        <w:spacing w:after="0"/>
        <w:jc w:val="both"/>
      </w:pPr>
    </w:p>
    <w:p w:rsidR="00473B3E" w:rsidRPr="003E099F" w:rsidRDefault="003E099F" w:rsidP="003E099F">
      <w:pPr>
        <w:pStyle w:val="Paragraphedeliste"/>
        <w:numPr>
          <w:ilvl w:val="0"/>
          <w:numId w:val="15"/>
        </w:numPr>
        <w:spacing w:after="0"/>
        <w:jc w:val="both"/>
        <w:rPr>
          <w:b/>
          <w:u w:val="single"/>
        </w:rPr>
      </w:pPr>
      <w:r w:rsidRPr="003E099F">
        <w:rPr>
          <w:b/>
          <w:u w:val="single"/>
        </w:rPr>
        <w:t>Sur le transfert des collèges à la région (article 12)</w:t>
      </w:r>
    </w:p>
    <w:p w:rsidR="003E099F" w:rsidRDefault="001347AE" w:rsidP="003E099F">
      <w:pPr>
        <w:spacing w:after="0"/>
        <w:jc w:val="both"/>
      </w:pPr>
      <w:r>
        <w:sym w:font="Wingdings" w:char="F071"/>
      </w:r>
      <w:r>
        <w:t xml:space="preserve"> </w:t>
      </w:r>
      <w:r w:rsidR="003E099F">
        <w:t>La suppression de ce transfert a été maintenue.</w:t>
      </w:r>
    </w:p>
    <w:p w:rsidR="003E099F" w:rsidRDefault="003E099F" w:rsidP="003E099F">
      <w:pPr>
        <w:spacing w:after="0"/>
        <w:jc w:val="both"/>
      </w:pPr>
    </w:p>
    <w:p w:rsidR="00335526" w:rsidRPr="00335526" w:rsidRDefault="00335526" w:rsidP="00851D6F">
      <w:pPr>
        <w:pStyle w:val="Paragraphedeliste"/>
        <w:numPr>
          <w:ilvl w:val="0"/>
          <w:numId w:val="15"/>
        </w:numPr>
        <w:spacing w:after="0"/>
        <w:ind w:hanging="361"/>
        <w:jc w:val="both"/>
        <w:rPr>
          <w:b/>
          <w:u w:val="single"/>
        </w:rPr>
      </w:pPr>
      <w:r w:rsidRPr="00335526">
        <w:rPr>
          <w:b/>
          <w:u w:val="single"/>
        </w:rPr>
        <w:t>Sur l’enseignement</w:t>
      </w:r>
      <w:r w:rsidR="00F265BC">
        <w:rPr>
          <w:b/>
          <w:u w:val="single"/>
        </w:rPr>
        <w:t xml:space="preserve"> supérieur</w:t>
      </w:r>
      <w:r w:rsidRPr="00335526">
        <w:rPr>
          <w:b/>
          <w:u w:val="single"/>
        </w:rPr>
        <w:t xml:space="preserve"> (article 12 bis A et 12 bis B)</w:t>
      </w:r>
    </w:p>
    <w:p w:rsidR="00335526" w:rsidRDefault="00F66B30" w:rsidP="00335526">
      <w:pPr>
        <w:spacing w:after="0"/>
        <w:jc w:val="both"/>
      </w:pPr>
      <w:r>
        <w:sym w:font="Wingdings" w:char="F071"/>
      </w:r>
      <w:r>
        <w:t xml:space="preserve"> </w:t>
      </w:r>
      <w:r w:rsidR="00335526">
        <w:t xml:space="preserve">Dans le respect des stratégies nationales de l’enseignement supérieur et de la recherche, la région élabore un </w:t>
      </w:r>
      <w:r w:rsidR="00335526" w:rsidRPr="00F66B30">
        <w:rPr>
          <w:b/>
        </w:rPr>
        <w:t>schéma régional de l’enseignement supérieur, de la recherche et de l’innovation</w:t>
      </w:r>
      <w:r w:rsidR="00335526">
        <w:t>. Ce schéma définit les orientations de la région et les priorités de ses interventions.</w:t>
      </w:r>
    </w:p>
    <w:p w:rsidR="00335526" w:rsidRDefault="00335526" w:rsidP="00335526">
      <w:pPr>
        <w:spacing w:after="0"/>
        <w:jc w:val="both"/>
      </w:pPr>
    </w:p>
    <w:p w:rsidR="00335526" w:rsidRDefault="00F66B30" w:rsidP="00335526">
      <w:pPr>
        <w:spacing w:after="0"/>
        <w:jc w:val="both"/>
      </w:pPr>
      <w:r>
        <w:sym w:font="Wingdings" w:char="F071"/>
      </w:r>
      <w:r>
        <w:t xml:space="preserve"> </w:t>
      </w:r>
      <w:r w:rsidR="00335526">
        <w:t>Par ailleurs, dans le cadre de leurs schémas de développement universitaire et scientifique propres et en cohérence avec les contrats pluriannuels d’établissement, les collectivités territoriales et leurs groupements peuvent contribuer au financement des sites et établissements d'enseignement supérieur et établissements de recherche implantés sur leur territoire ainsi qu'aux œuvres universitaires et scolaires.</w:t>
      </w:r>
    </w:p>
    <w:p w:rsidR="00335526" w:rsidRDefault="00335526" w:rsidP="00335526">
      <w:pPr>
        <w:spacing w:after="0"/>
        <w:jc w:val="both"/>
      </w:pPr>
    </w:p>
    <w:p w:rsidR="00335526" w:rsidRPr="00A31D6B" w:rsidRDefault="00A31D6B" w:rsidP="00851D6F">
      <w:pPr>
        <w:pStyle w:val="Paragraphedeliste"/>
        <w:numPr>
          <w:ilvl w:val="0"/>
          <w:numId w:val="15"/>
        </w:numPr>
        <w:spacing w:after="0" w:line="240" w:lineRule="auto"/>
        <w:ind w:left="1560" w:hanging="357"/>
        <w:jc w:val="both"/>
        <w:rPr>
          <w:b/>
          <w:u w:val="single"/>
        </w:rPr>
      </w:pPr>
      <w:r w:rsidRPr="00A31D6B">
        <w:rPr>
          <w:b/>
          <w:u w:val="single"/>
        </w:rPr>
        <w:lastRenderedPageBreak/>
        <w:t>Sur les centres de ressources, d’expertise et de performance sportive (CREPS)</w:t>
      </w:r>
      <w:r>
        <w:rPr>
          <w:b/>
          <w:u w:val="single"/>
        </w:rPr>
        <w:t xml:space="preserve"> (article 12 ter et 12 quater)</w:t>
      </w:r>
    </w:p>
    <w:p w:rsidR="00A31D6B" w:rsidRDefault="00A31D6B" w:rsidP="00A31D6B">
      <w:pPr>
        <w:pStyle w:val="NormalWeb"/>
        <w:spacing w:before="0" w:beforeAutospacing="0" w:after="0" w:afterAutospacing="0"/>
        <w:jc w:val="both"/>
        <w:rPr>
          <w:rFonts w:asciiTheme="minorHAnsi" w:hAnsiTheme="minorHAnsi"/>
          <w:sz w:val="22"/>
          <w:szCs w:val="22"/>
        </w:rPr>
      </w:pPr>
    </w:p>
    <w:p w:rsidR="00A31D6B" w:rsidRPr="00A31D6B" w:rsidRDefault="00F66B30" w:rsidP="00A31D6B">
      <w:pPr>
        <w:pStyle w:val="NormalWeb"/>
        <w:spacing w:before="0" w:beforeAutospacing="0" w:after="0" w:afterAutospacing="0"/>
        <w:jc w:val="both"/>
        <w:rPr>
          <w:rFonts w:asciiTheme="minorHAnsi" w:hAnsiTheme="minorHAnsi"/>
          <w:sz w:val="22"/>
          <w:szCs w:val="22"/>
        </w:rPr>
      </w:pPr>
      <w:r>
        <w:rPr>
          <w:rFonts w:asciiTheme="minorHAnsi" w:hAnsiTheme="minorHAnsi"/>
          <w:sz w:val="22"/>
          <w:szCs w:val="22"/>
        </w:rPr>
        <w:sym w:font="Wingdings" w:char="F071"/>
      </w:r>
      <w:r>
        <w:rPr>
          <w:rFonts w:asciiTheme="minorHAnsi" w:hAnsiTheme="minorHAnsi"/>
          <w:sz w:val="22"/>
          <w:szCs w:val="22"/>
        </w:rPr>
        <w:t xml:space="preserve"> </w:t>
      </w:r>
      <w:r w:rsidR="00A31D6B">
        <w:rPr>
          <w:rFonts w:asciiTheme="minorHAnsi" w:hAnsiTheme="minorHAnsi"/>
          <w:sz w:val="22"/>
          <w:szCs w:val="22"/>
        </w:rPr>
        <w:t>D</w:t>
      </w:r>
      <w:r w:rsidR="00A31D6B" w:rsidRPr="00A31D6B">
        <w:rPr>
          <w:rFonts w:asciiTheme="minorHAnsi" w:hAnsiTheme="minorHAnsi"/>
          <w:sz w:val="22"/>
          <w:szCs w:val="22"/>
        </w:rPr>
        <w:t xml:space="preserve">eux amendements présentés par le Gouvernement relatifs au transfert aux régions des </w:t>
      </w:r>
      <w:r w:rsidR="00A31D6B">
        <w:rPr>
          <w:rFonts w:asciiTheme="minorHAnsi" w:hAnsiTheme="minorHAnsi"/>
          <w:sz w:val="22"/>
          <w:szCs w:val="22"/>
        </w:rPr>
        <w:t>C</w:t>
      </w:r>
      <w:r w:rsidR="00A31D6B" w:rsidRPr="00A31D6B">
        <w:rPr>
          <w:rFonts w:asciiTheme="minorHAnsi" w:hAnsiTheme="minorHAnsi"/>
          <w:sz w:val="22"/>
          <w:szCs w:val="22"/>
        </w:rPr>
        <w:t>REPS</w:t>
      </w:r>
      <w:r w:rsidR="00B7547D">
        <w:rPr>
          <w:rFonts w:asciiTheme="minorHAnsi" w:hAnsiTheme="minorHAnsi"/>
          <w:sz w:val="22"/>
          <w:szCs w:val="22"/>
        </w:rPr>
        <w:t xml:space="preserve"> ont été adoptés</w:t>
      </w:r>
      <w:r w:rsidR="00A31D6B" w:rsidRPr="00A31D6B">
        <w:rPr>
          <w:rFonts w:asciiTheme="minorHAnsi" w:hAnsiTheme="minorHAnsi"/>
          <w:sz w:val="22"/>
          <w:szCs w:val="22"/>
        </w:rPr>
        <w:t>.</w:t>
      </w:r>
    </w:p>
    <w:p w:rsidR="00A31D6B" w:rsidRDefault="00A31D6B" w:rsidP="00A31D6B">
      <w:pPr>
        <w:pStyle w:val="NormalWeb"/>
        <w:spacing w:before="0" w:beforeAutospacing="0" w:after="0" w:afterAutospacing="0"/>
        <w:jc w:val="both"/>
        <w:rPr>
          <w:rFonts w:asciiTheme="minorHAnsi" w:hAnsiTheme="minorHAnsi"/>
          <w:sz w:val="22"/>
          <w:szCs w:val="22"/>
        </w:rPr>
      </w:pPr>
    </w:p>
    <w:p w:rsidR="00A31D6B" w:rsidRPr="00A31D6B" w:rsidRDefault="00A31D6B" w:rsidP="00A31D6B">
      <w:pPr>
        <w:pStyle w:val="NormalWeb"/>
        <w:spacing w:before="0" w:beforeAutospacing="0" w:after="0" w:afterAutospacing="0"/>
        <w:jc w:val="both"/>
        <w:rPr>
          <w:rFonts w:asciiTheme="minorHAnsi" w:hAnsiTheme="minorHAnsi"/>
          <w:sz w:val="22"/>
          <w:szCs w:val="22"/>
        </w:rPr>
      </w:pPr>
      <w:r w:rsidRPr="00A31D6B">
        <w:rPr>
          <w:rFonts w:asciiTheme="minorHAnsi" w:hAnsiTheme="minorHAnsi"/>
          <w:sz w:val="22"/>
          <w:szCs w:val="22"/>
        </w:rPr>
        <w:t xml:space="preserve">À cette occasion, </w:t>
      </w:r>
      <w:r w:rsidRPr="00A31D6B">
        <w:rPr>
          <w:rStyle w:val="lev"/>
          <w:rFonts w:asciiTheme="minorHAnsi" w:eastAsiaTheme="minorHAnsi" w:hAnsiTheme="minorHAnsi"/>
          <w:sz w:val="22"/>
          <w:szCs w:val="22"/>
        </w:rPr>
        <w:t>le Sénat a inscrit dans la loi que chaque région métropolitaine avait vocation à accueillir au moins un de ces établissements sur son territoire.</w:t>
      </w:r>
    </w:p>
    <w:p w:rsidR="00A31D6B" w:rsidRPr="00A31D6B" w:rsidRDefault="00A31D6B" w:rsidP="00A31D6B">
      <w:pPr>
        <w:pStyle w:val="NormalWeb"/>
        <w:spacing w:before="0" w:beforeAutospacing="0" w:after="0" w:afterAutospacing="0"/>
        <w:jc w:val="both"/>
        <w:rPr>
          <w:rFonts w:asciiTheme="minorHAnsi" w:hAnsiTheme="minorHAnsi"/>
          <w:sz w:val="22"/>
          <w:szCs w:val="22"/>
        </w:rPr>
      </w:pPr>
      <w:r w:rsidRPr="00A31D6B">
        <w:rPr>
          <w:rFonts w:asciiTheme="minorHAnsi" w:hAnsiTheme="minorHAnsi"/>
          <w:sz w:val="22"/>
          <w:szCs w:val="22"/>
        </w:rPr>
        <w:t xml:space="preserve">La sénatrice de la Seine-Maritime a fait remarquer que </w:t>
      </w:r>
      <w:r w:rsidRPr="00A31D6B">
        <w:rPr>
          <w:rStyle w:val="lev"/>
          <w:rFonts w:asciiTheme="minorHAnsi" w:eastAsiaTheme="minorHAnsi" w:hAnsiTheme="minorHAnsi"/>
          <w:sz w:val="22"/>
          <w:szCs w:val="22"/>
        </w:rPr>
        <w:t>la fermeture de plusieurs CREPS depuis 2009</w:t>
      </w:r>
      <w:r w:rsidRPr="00A31D6B">
        <w:rPr>
          <w:rFonts w:asciiTheme="minorHAnsi" w:hAnsiTheme="minorHAnsi"/>
          <w:sz w:val="22"/>
          <w:szCs w:val="22"/>
        </w:rPr>
        <w:t xml:space="preserve"> a eu pour effet que, dans le cadre de la nouvelle carte des régions, </w:t>
      </w:r>
      <w:r w:rsidRPr="00A31D6B">
        <w:rPr>
          <w:rStyle w:val="lev"/>
          <w:rFonts w:asciiTheme="minorHAnsi" w:eastAsiaTheme="minorHAnsi" w:hAnsiTheme="minorHAnsi"/>
          <w:sz w:val="22"/>
          <w:szCs w:val="22"/>
        </w:rPr>
        <w:t>trois régions métropolitaines - Bretagne, Normandie et collectivité territoriale de Corse - en soient dépourvues</w:t>
      </w:r>
      <w:r w:rsidRPr="00A31D6B">
        <w:rPr>
          <w:rFonts w:asciiTheme="minorHAnsi" w:hAnsiTheme="minorHAnsi"/>
          <w:sz w:val="22"/>
          <w:szCs w:val="22"/>
        </w:rPr>
        <w:t xml:space="preserve"> et qu’en conséquence, le transfert souhaitable des CREPS devait être l’occasion de corriger ces inégalités territoriales.</w:t>
      </w:r>
    </w:p>
    <w:p w:rsidR="00A31D6B" w:rsidRPr="00A31D6B" w:rsidRDefault="00A31D6B" w:rsidP="00A31D6B">
      <w:pPr>
        <w:pStyle w:val="NormalWeb"/>
        <w:spacing w:before="0" w:beforeAutospacing="0" w:after="0" w:afterAutospacing="0"/>
        <w:jc w:val="both"/>
        <w:rPr>
          <w:rFonts w:asciiTheme="minorHAnsi" w:hAnsiTheme="minorHAnsi"/>
          <w:sz w:val="22"/>
          <w:szCs w:val="22"/>
        </w:rPr>
      </w:pPr>
      <w:r w:rsidRPr="00A31D6B">
        <w:rPr>
          <w:rFonts w:asciiTheme="minorHAnsi" w:hAnsiTheme="minorHAnsi"/>
          <w:sz w:val="22"/>
          <w:szCs w:val="22"/>
        </w:rPr>
        <w:t>Lors du débat, les sénateurs ont unanimement considéré qu’au nom de l</w:t>
      </w:r>
      <w:r w:rsidRPr="00A31D6B">
        <w:rPr>
          <w:rStyle w:val="lev"/>
          <w:rFonts w:asciiTheme="minorHAnsi" w:eastAsiaTheme="minorHAnsi" w:hAnsiTheme="minorHAnsi"/>
          <w:sz w:val="22"/>
          <w:szCs w:val="22"/>
        </w:rPr>
        <w:t>’équité</w:t>
      </w:r>
      <w:r w:rsidRPr="00A31D6B">
        <w:rPr>
          <w:rFonts w:asciiTheme="minorHAnsi" w:hAnsiTheme="minorHAnsi"/>
          <w:sz w:val="22"/>
          <w:szCs w:val="22"/>
        </w:rPr>
        <w:t xml:space="preserve">, il était donc nécessaire de faire en sorte que les établissements </w:t>
      </w:r>
      <w:r w:rsidRPr="00A31D6B">
        <w:rPr>
          <w:rStyle w:val="lev"/>
          <w:rFonts w:asciiTheme="minorHAnsi" w:eastAsiaTheme="minorHAnsi" w:hAnsiTheme="minorHAnsi"/>
          <w:sz w:val="22"/>
          <w:szCs w:val="22"/>
        </w:rPr>
        <w:t>d’Ajaccio, de Dinard et de Houlgate</w:t>
      </w:r>
      <w:r w:rsidRPr="00A31D6B">
        <w:rPr>
          <w:rFonts w:asciiTheme="minorHAnsi" w:hAnsiTheme="minorHAnsi"/>
          <w:sz w:val="22"/>
          <w:szCs w:val="22"/>
        </w:rPr>
        <w:t xml:space="preserve"> puissent retrouver le statut de CREPS et devenir, à leur tour, de véritables pôles d’excellence régionaux en matière de développement du sport de haut niveau.</w:t>
      </w:r>
    </w:p>
    <w:p w:rsidR="00A31D6B" w:rsidRDefault="00A31D6B" w:rsidP="00A31D6B">
      <w:pPr>
        <w:spacing w:after="0"/>
        <w:jc w:val="both"/>
      </w:pPr>
    </w:p>
    <w:p w:rsidR="00AD2ED1" w:rsidRPr="00AD2ED1" w:rsidRDefault="00AD2ED1" w:rsidP="00AD2ED1">
      <w:pPr>
        <w:pStyle w:val="Paragraphedeliste"/>
        <w:numPr>
          <w:ilvl w:val="0"/>
          <w:numId w:val="15"/>
        </w:numPr>
        <w:spacing w:after="0"/>
        <w:jc w:val="both"/>
        <w:rPr>
          <w:b/>
          <w:u w:val="single"/>
        </w:rPr>
      </w:pPr>
      <w:r w:rsidRPr="00AD2ED1">
        <w:rPr>
          <w:b/>
          <w:u w:val="single"/>
        </w:rPr>
        <w:t>Dispositions spécifiques à la Corse</w:t>
      </w:r>
      <w:r>
        <w:rPr>
          <w:b/>
          <w:u w:val="single"/>
        </w:rPr>
        <w:t xml:space="preserve"> (article 13)</w:t>
      </w:r>
    </w:p>
    <w:p w:rsidR="003C73B0" w:rsidRPr="00BB7E93" w:rsidRDefault="00AD2ED1" w:rsidP="00AD2ED1">
      <w:pPr>
        <w:spacing w:after="0"/>
        <w:jc w:val="both"/>
        <w:rPr>
          <w:rFonts w:eastAsia="Times New Roman" w:cs="Times New Roman"/>
        </w:rPr>
      </w:pPr>
      <w:r w:rsidRPr="00AD2ED1">
        <w:rPr>
          <w:rFonts w:eastAsia="Times New Roman" w:cs="Times New Roman"/>
        </w:rPr>
        <w:t>L'article 13, consacré à la Corse, a été adopté. Il comporte plusieurs dispositions relatives à cette collectivité territoriale, pour faire suite à des propositions du rapport établi par la commission des compétences législatives et réglementaires sur les institutions particulières de la Corse présenté à l'Assemblée de Corse en septembre 2013.</w:t>
      </w:r>
    </w:p>
    <w:p w:rsidR="00BB7E93" w:rsidRDefault="00BB7E93" w:rsidP="00BB7E93">
      <w:pPr>
        <w:pBdr>
          <w:bottom w:val="single" w:sz="4" w:space="1" w:color="auto"/>
        </w:pBdr>
        <w:spacing w:after="0"/>
        <w:jc w:val="both"/>
        <w:rPr>
          <w:rFonts w:eastAsia="Times New Roman" w:cs="Times New Roman"/>
          <w:b/>
          <w:u w:val="single"/>
        </w:rPr>
      </w:pPr>
    </w:p>
    <w:p w:rsidR="00BB7E93" w:rsidRDefault="00BB7E93" w:rsidP="00AD2ED1">
      <w:pPr>
        <w:spacing w:after="0"/>
        <w:jc w:val="both"/>
        <w:rPr>
          <w:rFonts w:eastAsia="Times New Roman" w:cs="Times New Roman"/>
          <w:b/>
          <w:u w:val="single"/>
        </w:rPr>
      </w:pPr>
    </w:p>
    <w:p w:rsidR="00BB7E93" w:rsidRPr="00BD0E2C" w:rsidRDefault="00BB7E93" w:rsidP="00AD2ED1">
      <w:pPr>
        <w:spacing w:after="0"/>
        <w:jc w:val="both"/>
        <w:rPr>
          <w:rFonts w:eastAsia="Times New Roman" w:cs="Times New Roman"/>
          <w:b/>
          <w:u w:val="single"/>
        </w:rPr>
      </w:pPr>
    </w:p>
    <w:p w:rsidR="003C73B0" w:rsidRPr="00B7547D" w:rsidRDefault="00BB7E93" w:rsidP="003C73B0">
      <w:pPr>
        <w:pStyle w:val="Paragraphedeliste"/>
        <w:numPr>
          <w:ilvl w:val="0"/>
          <w:numId w:val="12"/>
        </w:numPr>
        <w:spacing w:after="0"/>
        <w:jc w:val="both"/>
        <w:rPr>
          <w:rFonts w:eastAsia="Times New Roman" w:cs="Times New Roman"/>
          <w:b/>
          <w:u w:val="single"/>
        </w:rPr>
      </w:pPr>
      <w:r w:rsidRPr="00BD0E2C">
        <w:rPr>
          <w:rFonts w:eastAsia="Times New Roman" w:cs="Times New Roman"/>
          <w:b/>
          <w:u w:val="single"/>
        </w:rPr>
        <w:t>TITRE</w:t>
      </w:r>
      <w:r>
        <w:rPr>
          <w:rFonts w:eastAsia="Times New Roman" w:cs="Times New Roman"/>
          <w:b/>
          <w:u w:val="single"/>
        </w:rPr>
        <w:t xml:space="preserve"> II</w:t>
      </w:r>
      <w:r w:rsidRPr="00BD0E2C">
        <w:rPr>
          <w:rFonts w:eastAsia="Times New Roman" w:cs="Times New Roman"/>
          <w:b/>
          <w:u w:val="single"/>
        </w:rPr>
        <w:t xml:space="preserve"> – RENFORCEMENT DE L’INTERCOMMUNALITE</w:t>
      </w:r>
    </w:p>
    <w:p w:rsidR="00BB7E93" w:rsidRDefault="00C219AD" w:rsidP="00BB7E93">
      <w:pPr>
        <w:pStyle w:val="Paragraphedeliste"/>
        <w:numPr>
          <w:ilvl w:val="0"/>
          <w:numId w:val="17"/>
        </w:numPr>
        <w:spacing w:after="0"/>
        <w:jc w:val="both"/>
        <w:rPr>
          <w:rFonts w:eastAsia="Times New Roman" w:cs="Times New Roman"/>
          <w:b/>
          <w:u w:val="single"/>
        </w:rPr>
      </w:pPr>
      <w:r>
        <w:rPr>
          <w:rFonts w:eastAsia="Times New Roman" w:cs="Times New Roman"/>
          <w:b/>
          <w:u w:val="single"/>
        </w:rPr>
        <w:t>Sur la rationalisation de la carte intercommunale (a</w:t>
      </w:r>
      <w:r w:rsidR="00BB7E93">
        <w:rPr>
          <w:rFonts w:eastAsia="Times New Roman" w:cs="Times New Roman"/>
          <w:b/>
          <w:u w:val="single"/>
        </w:rPr>
        <w:t>rticle 14</w:t>
      </w:r>
      <w:r>
        <w:rPr>
          <w:rFonts w:eastAsia="Times New Roman" w:cs="Times New Roman"/>
          <w:b/>
          <w:u w:val="single"/>
        </w:rPr>
        <w:t>)</w:t>
      </w:r>
    </w:p>
    <w:p w:rsidR="00C219AD" w:rsidRDefault="00C219AD" w:rsidP="00BB7E93">
      <w:pPr>
        <w:jc w:val="both"/>
      </w:pPr>
      <w:r w:rsidRPr="00C219AD">
        <w:t>L'article 14 proposait une nouvelle orientation de la rationalisation de la carte intercommunale resserrée autour des bassins de vie et axée à la fois sur un accroissement de la taille minimale des EPCI à fiscalité propre de 5 000 à 20 000 habitants et sur la réduction du nombre des structures syndicales intervenant en particulier dans les domaines de l'eau potable, de l'assainissement, des déchets, du gaz, de l'électricité et des transports</w:t>
      </w:r>
      <w:r>
        <w:t>.</w:t>
      </w:r>
    </w:p>
    <w:p w:rsidR="00086290" w:rsidRDefault="00086290" w:rsidP="00BB7E93">
      <w:pPr>
        <w:jc w:val="both"/>
        <w:rPr>
          <w:rFonts w:hAnsi="Symbol"/>
        </w:rPr>
      </w:pPr>
      <w:r>
        <w:t>La commission des lois a supprimé le seuil démographique de 20 000 habitants proposé par le projet de loi initial.</w:t>
      </w:r>
      <w:r>
        <w:rPr>
          <w:rFonts w:hAnsi="Symbol"/>
        </w:rPr>
        <w:t xml:space="preserve"> </w:t>
      </w:r>
    </w:p>
    <w:p w:rsidR="00BB7E93" w:rsidRDefault="00BB7E93" w:rsidP="00BB7E93">
      <w:pPr>
        <w:jc w:val="both"/>
      </w:pPr>
      <w:r>
        <w:t>Lors de l'examen de cet article, les</w:t>
      </w:r>
      <w:r w:rsidR="00086290">
        <w:t xml:space="preserve"> sénateurs ont notamment adopté </w:t>
      </w:r>
      <w:r>
        <w:t xml:space="preserve">des amendements identiques pour ajouter la </w:t>
      </w:r>
      <w:r>
        <w:rPr>
          <w:rStyle w:val="lev"/>
        </w:rPr>
        <w:t>solidarité territoriale</w:t>
      </w:r>
      <w:r>
        <w:t xml:space="preserve"> parmi les orientations à prendre en compte dans le cadre de l’élaboration du schéma départemental de coopération intercommunale (</w:t>
      </w:r>
      <w:r w:rsidR="00086290">
        <w:t>SDCI</w:t>
      </w:r>
      <w:r>
        <w:t>)</w:t>
      </w:r>
      <w:r w:rsidR="00086290">
        <w:t>.</w:t>
      </w:r>
    </w:p>
    <w:p w:rsidR="00C219AD" w:rsidRPr="00C219AD" w:rsidRDefault="00C219AD" w:rsidP="00C219AD">
      <w:pPr>
        <w:pStyle w:val="Paragraphedeliste"/>
        <w:numPr>
          <w:ilvl w:val="0"/>
          <w:numId w:val="17"/>
        </w:numPr>
        <w:spacing w:line="240" w:lineRule="auto"/>
        <w:jc w:val="both"/>
        <w:rPr>
          <w:rFonts w:eastAsiaTheme="minorEastAsia"/>
          <w:b/>
          <w:u w:val="single"/>
          <w:lang w:eastAsia="fr-FR" w:bidi="ar-SA"/>
        </w:rPr>
      </w:pPr>
      <w:r w:rsidRPr="00C219AD">
        <w:rPr>
          <w:rFonts w:eastAsiaTheme="minorEastAsia"/>
          <w:b/>
          <w:u w:val="single"/>
          <w:lang w:eastAsia="fr-FR" w:bidi="ar-SA"/>
        </w:rPr>
        <w:t xml:space="preserve">Sur la modification du périmètre des EPCI à fiscalité propre (article 15) </w:t>
      </w:r>
    </w:p>
    <w:p w:rsidR="00C219AD" w:rsidRPr="00C219AD" w:rsidRDefault="00EA1E85" w:rsidP="00C219AD">
      <w:pPr>
        <w:spacing w:line="240" w:lineRule="auto"/>
        <w:jc w:val="both"/>
      </w:pPr>
      <w:r>
        <w:t xml:space="preserve">Cet article crée </w:t>
      </w:r>
      <w:r w:rsidR="00C219AD" w:rsidRPr="00C219AD">
        <w:t>une procédure dérogatoire au droit commun permettant au préfet de créer, modifier le périmètre ou fusionner tout EPCI à fiscalité p</w:t>
      </w:r>
      <w:r>
        <w:t>ropre jusqu’au 31 décembre 2016.</w:t>
      </w:r>
    </w:p>
    <w:p w:rsidR="00C219AD" w:rsidRPr="00C219AD" w:rsidRDefault="00C219AD" w:rsidP="00C219AD">
      <w:pPr>
        <w:pStyle w:val="Paragraphedeliste"/>
        <w:numPr>
          <w:ilvl w:val="0"/>
          <w:numId w:val="17"/>
        </w:numPr>
        <w:spacing w:line="240" w:lineRule="auto"/>
        <w:jc w:val="both"/>
        <w:rPr>
          <w:rFonts w:eastAsiaTheme="minorEastAsia"/>
          <w:b/>
          <w:u w:val="single"/>
          <w:lang w:eastAsia="fr-FR" w:bidi="ar-SA"/>
        </w:rPr>
      </w:pPr>
      <w:r w:rsidRPr="00C219AD">
        <w:rPr>
          <w:rFonts w:eastAsiaTheme="minorEastAsia"/>
          <w:b/>
          <w:u w:val="single"/>
          <w:lang w:eastAsia="fr-FR" w:bidi="ar-SA"/>
        </w:rPr>
        <w:lastRenderedPageBreak/>
        <w:t>Sur la procédure de dissolution des syndicats de communes ou syndicats mixtes (article 16)</w:t>
      </w:r>
    </w:p>
    <w:p w:rsidR="00C219AD" w:rsidRPr="00C219AD" w:rsidRDefault="00C219AD" w:rsidP="00C219AD">
      <w:pPr>
        <w:spacing w:after="0" w:line="240" w:lineRule="auto"/>
        <w:jc w:val="both"/>
      </w:pPr>
      <w:r w:rsidRPr="00C219AD">
        <w:t>L'article 16 permet au préfet pendant une période de deux ans de dissoudre tout syndicat de communes ou syndicat mixte prévu à l'article L. 5711-1 du CGCT conformément au schéma départemental de la coopération intercommunale. Il peut également proposer une dissolution non prévue dans le schéma après avis de la commission départementale de coopération intercommunale (CDCI), laquelle a la possibilité d'imposer des modifications au projet si celles-ci sont votées à la majorité des deux tiers de ses membres et sont conformes aux objectifs assignés à tout schéma départemental de la coopération intercommunale.</w:t>
      </w:r>
    </w:p>
    <w:p w:rsidR="00C219AD" w:rsidRPr="00C219AD" w:rsidRDefault="00C219AD" w:rsidP="00C219AD">
      <w:pPr>
        <w:jc w:val="both"/>
      </w:pPr>
    </w:p>
    <w:p w:rsidR="00C219AD" w:rsidRPr="00C219AD" w:rsidRDefault="00C219AD" w:rsidP="00C219AD">
      <w:pPr>
        <w:pStyle w:val="Paragraphedeliste"/>
        <w:numPr>
          <w:ilvl w:val="0"/>
          <w:numId w:val="17"/>
        </w:numPr>
        <w:spacing w:line="240" w:lineRule="auto"/>
        <w:jc w:val="both"/>
        <w:rPr>
          <w:rFonts w:eastAsiaTheme="minorEastAsia"/>
          <w:b/>
          <w:u w:val="single"/>
          <w:lang w:eastAsia="fr-FR" w:bidi="ar-SA"/>
        </w:rPr>
      </w:pPr>
      <w:r w:rsidRPr="00C219AD">
        <w:rPr>
          <w:rFonts w:eastAsiaTheme="minorEastAsia"/>
          <w:b/>
          <w:u w:val="single"/>
          <w:lang w:eastAsia="fr-FR" w:bidi="ar-SA"/>
        </w:rPr>
        <w:t>Rattachement des communes en situation d’isolement ou de discontinuité (article 17)</w:t>
      </w:r>
    </w:p>
    <w:p w:rsidR="00C219AD" w:rsidRPr="00C219AD" w:rsidRDefault="00C219AD" w:rsidP="00C219AD">
      <w:pPr>
        <w:jc w:val="both"/>
      </w:pPr>
      <w:r w:rsidRPr="00C219AD">
        <w:t>À la suite de la décision n° 2014-391 QPC du 25 avril 2014, l'article 17 prévoit un nouveau dispositif de rattachement des communes qui se trouveraient en situation d'isolement ou de discontinuité avec leur EPCI à fiscalité propre de rattachement.</w:t>
      </w:r>
    </w:p>
    <w:p w:rsidR="00C219AD" w:rsidRPr="00C219AD" w:rsidRDefault="00C219AD" w:rsidP="00BB7E93">
      <w:pPr>
        <w:pStyle w:val="Paragraphedeliste"/>
        <w:numPr>
          <w:ilvl w:val="0"/>
          <w:numId w:val="17"/>
        </w:numPr>
        <w:spacing w:after="0"/>
        <w:jc w:val="both"/>
        <w:rPr>
          <w:b/>
          <w:u w:val="single"/>
        </w:rPr>
      </w:pPr>
      <w:r w:rsidRPr="00C219AD">
        <w:rPr>
          <w:b/>
          <w:u w:val="single"/>
        </w:rPr>
        <w:t>Sur le retrait d’une commune d’une communauté d’agglomération</w:t>
      </w:r>
    </w:p>
    <w:p w:rsidR="00BB7E93" w:rsidRDefault="005F1442" w:rsidP="00C219AD">
      <w:pPr>
        <w:spacing w:after="0"/>
        <w:jc w:val="both"/>
      </w:pPr>
      <w:r>
        <w:t>Sur proposition d’un amendement UMP, l</w:t>
      </w:r>
      <w:r w:rsidR="00C219AD">
        <w:t xml:space="preserve">e Sénat a </w:t>
      </w:r>
      <w:r w:rsidR="00BB7E93">
        <w:t xml:space="preserve">inséré un </w:t>
      </w:r>
      <w:r w:rsidR="00BB7E93" w:rsidRPr="00BB7E93">
        <w:rPr>
          <w:u w:val="single"/>
        </w:rPr>
        <w:t>article additionnel après l’article 17</w:t>
      </w:r>
      <w:r w:rsidR="00BB7E93">
        <w:t xml:space="preserve"> afin de permettre à une </w:t>
      </w:r>
      <w:r w:rsidR="00BB7E93">
        <w:rPr>
          <w:rStyle w:val="lev"/>
        </w:rPr>
        <w:t>commune de se retirer d’une communauté d’agglomération</w:t>
      </w:r>
      <w:r w:rsidR="00BB7E93">
        <w:t>, sans remettre en cause son équilibre financier, pendant la période d’unification des taux de cotisation foncière des entreprises</w:t>
      </w:r>
      <w:r w:rsidR="00C219AD">
        <w:t>, sous les conditions suivantes :</w:t>
      </w:r>
    </w:p>
    <w:p w:rsidR="00C219AD" w:rsidRPr="00C219AD" w:rsidRDefault="00C219AD" w:rsidP="00C219AD">
      <w:pPr>
        <w:pStyle w:val="NormalWeb"/>
        <w:numPr>
          <w:ilvl w:val="0"/>
          <w:numId w:val="26"/>
        </w:numPr>
        <w:spacing w:before="0" w:beforeAutospacing="0" w:after="0" w:afterAutospacing="0"/>
        <w:jc w:val="both"/>
        <w:rPr>
          <w:rFonts w:asciiTheme="minorHAnsi" w:hAnsiTheme="minorHAnsi"/>
          <w:sz w:val="22"/>
          <w:szCs w:val="22"/>
        </w:rPr>
      </w:pPr>
      <w:r w:rsidRPr="00C219AD">
        <w:rPr>
          <w:rFonts w:asciiTheme="minorHAnsi" w:hAnsiTheme="minorHAnsi"/>
          <w:sz w:val="22"/>
          <w:szCs w:val="22"/>
        </w:rPr>
        <w:t>la commune représente moins de 1 % de la population de la communauté d’agglomération ;</w:t>
      </w:r>
    </w:p>
    <w:p w:rsidR="00C219AD" w:rsidRPr="00C219AD" w:rsidRDefault="00C219AD" w:rsidP="00C219AD">
      <w:pPr>
        <w:pStyle w:val="NormalWeb"/>
        <w:numPr>
          <w:ilvl w:val="0"/>
          <w:numId w:val="26"/>
        </w:numPr>
        <w:spacing w:before="0" w:beforeAutospacing="0" w:after="0" w:afterAutospacing="0"/>
        <w:jc w:val="both"/>
        <w:rPr>
          <w:rFonts w:asciiTheme="minorHAnsi" w:hAnsiTheme="minorHAnsi"/>
          <w:sz w:val="22"/>
          <w:szCs w:val="22"/>
        </w:rPr>
      </w:pPr>
      <w:r w:rsidRPr="00C219AD">
        <w:rPr>
          <w:rFonts w:asciiTheme="minorHAnsi" w:hAnsiTheme="minorHAnsi"/>
          <w:sz w:val="22"/>
          <w:szCs w:val="22"/>
        </w:rPr>
        <w:t xml:space="preserve">la commune </w:t>
      </w:r>
      <w:proofErr w:type="gramStart"/>
      <w:r w:rsidRPr="00C219AD">
        <w:rPr>
          <w:rFonts w:asciiTheme="minorHAnsi" w:hAnsiTheme="minorHAnsi"/>
          <w:sz w:val="22"/>
          <w:szCs w:val="22"/>
        </w:rPr>
        <w:t>a</w:t>
      </w:r>
      <w:proofErr w:type="gramEnd"/>
      <w:r w:rsidRPr="00C219AD">
        <w:rPr>
          <w:rFonts w:asciiTheme="minorHAnsi" w:hAnsiTheme="minorHAnsi"/>
          <w:sz w:val="22"/>
          <w:szCs w:val="22"/>
        </w:rPr>
        <w:t xml:space="preserve"> un potentiel financier par habitant de moins de 1 % des recettes de contribution foncière des entreprises ;</w:t>
      </w:r>
    </w:p>
    <w:p w:rsidR="00C219AD" w:rsidRPr="00C219AD" w:rsidRDefault="00C219AD" w:rsidP="00C219AD">
      <w:pPr>
        <w:pStyle w:val="NormalWeb"/>
        <w:numPr>
          <w:ilvl w:val="0"/>
          <w:numId w:val="26"/>
        </w:numPr>
        <w:jc w:val="both"/>
        <w:rPr>
          <w:rFonts w:asciiTheme="minorHAnsi" w:hAnsiTheme="minorHAnsi"/>
          <w:sz w:val="22"/>
          <w:szCs w:val="22"/>
        </w:rPr>
      </w:pPr>
      <w:r w:rsidRPr="00C219AD">
        <w:rPr>
          <w:rFonts w:asciiTheme="minorHAnsi" w:hAnsiTheme="minorHAnsi"/>
          <w:sz w:val="22"/>
          <w:szCs w:val="22"/>
        </w:rPr>
        <w:t>l’organe délibérant de l’établissement public de coopération intercommunale auquel la commune souhaite adhérer a accepté cette demande ;</w:t>
      </w:r>
    </w:p>
    <w:p w:rsidR="00C219AD" w:rsidRPr="005F70C5" w:rsidRDefault="00C219AD" w:rsidP="005F70C5">
      <w:pPr>
        <w:pStyle w:val="NormalWeb"/>
        <w:numPr>
          <w:ilvl w:val="0"/>
          <w:numId w:val="26"/>
        </w:numPr>
        <w:jc w:val="both"/>
        <w:rPr>
          <w:rFonts w:asciiTheme="minorHAnsi" w:hAnsiTheme="minorHAnsi"/>
          <w:sz w:val="22"/>
          <w:szCs w:val="22"/>
        </w:rPr>
      </w:pPr>
      <w:r w:rsidRPr="00C219AD">
        <w:rPr>
          <w:rFonts w:asciiTheme="minorHAnsi" w:hAnsiTheme="minorHAnsi"/>
          <w:sz w:val="22"/>
          <w:szCs w:val="22"/>
        </w:rPr>
        <w:t>le retrait de la commune ne crée pas d’enclave dans le périmètre de la communauté d’agglomération.</w:t>
      </w:r>
    </w:p>
    <w:p w:rsidR="00BB7E93" w:rsidRPr="00BB7E93" w:rsidRDefault="00BB7E93" w:rsidP="00BB7E93">
      <w:pPr>
        <w:spacing w:after="0"/>
        <w:jc w:val="both"/>
        <w:rPr>
          <w:rFonts w:eastAsia="Times New Roman" w:cs="Times New Roman"/>
          <w:b/>
          <w:u w:val="single"/>
        </w:rPr>
      </w:pPr>
    </w:p>
    <w:p w:rsidR="003C73B0" w:rsidRPr="00BD0E2C" w:rsidRDefault="003C73B0" w:rsidP="003C73B0">
      <w:pPr>
        <w:pStyle w:val="Paragraphedeliste"/>
        <w:numPr>
          <w:ilvl w:val="0"/>
          <w:numId w:val="17"/>
        </w:numPr>
        <w:spacing w:after="0"/>
        <w:jc w:val="both"/>
        <w:rPr>
          <w:rFonts w:eastAsia="Times New Roman" w:cs="Times New Roman"/>
          <w:b/>
          <w:u w:val="single"/>
        </w:rPr>
      </w:pPr>
      <w:r w:rsidRPr="00BD0E2C">
        <w:rPr>
          <w:rFonts w:eastAsia="Times New Roman" w:cs="Times New Roman"/>
          <w:b/>
          <w:u w:val="single"/>
        </w:rPr>
        <w:t xml:space="preserve">Sur l’instauration d’une redevance de mouillage (article 18 </w:t>
      </w:r>
      <w:r w:rsidR="00E80ADA">
        <w:rPr>
          <w:rFonts w:eastAsia="Times New Roman" w:cs="Times New Roman"/>
          <w:b/>
          <w:u w:val="single"/>
        </w:rPr>
        <w:t>A</w:t>
      </w:r>
      <w:r w:rsidRPr="00BD0E2C">
        <w:rPr>
          <w:rFonts w:eastAsia="Times New Roman" w:cs="Times New Roman"/>
          <w:b/>
          <w:u w:val="single"/>
        </w:rPr>
        <w:t>)</w:t>
      </w:r>
    </w:p>
    <w:p w:rsidR="00B1595E" w:rsidRPr="00B1595E" w:rsidRDefault="00F66B30" w:rsidP="00B1595E">
      <w:pPr>
        <w:pStyle w:val="dmodeles-petite-loiconfectiontexteloitexte"/>
        <w:spacing w:before="0" w:beforeAutospacing="0" w:after="0" w:afterAutospacing="0"/>
        <w:jc w:val="both"/>
        <w:rPr>
          <w:rFonts w:asciiTheme="minorHAnsi" w:hAnsiTheme="minorHAnsi"/>
          <w:sz w:val="22"/>
          <w:szCs w:val="22"/>
        </w:rPr>
      </w:pPr>
      <w:r>
        <w:rPr>
          <w:rFonts w:asciiTheme="minorHAnsi" w:hAnsiTheme="minorHAnsi"/>
          <w:sz w:val="22"/>
          <w:szCs w:val="22"/>
        </w:rPr>
        <w:sym w:font="Wingdings" w:char="F071"/>
      </w:r>
      <w:r>
        <w:rPr>
          <w:rFonts w:asciiTheme="minorHAnsi" w:hAnsiTheme="minorHAnsi"/>
          <w:sz w:val="22"/>
          <w:szCs w:val="22"/>
        </w:rPr>
        <w:t xml:space="preserve"> </w:t>
      </w:r>
      <w:r w:rsidR="00B1595E" w:rsidRPr="00B1595E">
        <w:rPr>
          <w:rFonts w:asciiTheme="minorHAnsi" w:hAnsiTheme="minorHAnsi"/>
          <w:sz w:val="22"/>
          <w:szCs w:val="22"/>
        </w:rPr>
        <w:t>Un amendement du Gouvernement a introduit une redevance de mouillage.</w:t>
      </w:r>
    </w:p>
    <w:p w:rsidR="00B1595E" w:rsidRPr="00B1595E" w:rsidRDefault="00B1595E" w:rsidP="00B1595E">
      <w:pPr>
        <w:pStyle w:val="dmodeles-petite-loiconfectiontexteloitexte"/>
        <w:spacing w:before="0" w:beforeAutospacing="0" w:after="0" w:afterAutospacing="0"/>
        <w:jc w:val="both"/>
        <w:rPr>
          <w:rFonts w:asciiTheme="minorHAnsi" w:hAnsiTheme="minorHAnsi"/>
          <w:sz w:val="22"/>
          <w:szCs w:val="22"/>
        </w:rPr>
      </w:pPr>
    </w:p>
    <w:p w:rsidR="00B1595E" w:rsidRPr="00B1595E" w:rsidRDefault="00F66B30" w:rsidP="00B1595E">
      <w:pPr>
        <w:pStyle w:val="dmodeles-petite-loiconfectiontexteloitexte"/>
        <w:spacing w:before="0" w:beforeAutospacing="0" w:after="0" w:afterAutospacing="0"/>
        <w:jc w:val="both"/>
        <w:rPr>
          <w:rFonts w:asciiTheme="minorHAnsi" w:hAnsiTheme="minorHAnsi"/>
          <w:sz w:val="22"/>
          <w:szCs w:val="22"/>
        </w:rPr>
      </w:pPr>
      <w:r>
        <w:rPr>
          <w:rFonts w:asciiTheme="minorHAnsi" w:hAnsiTheme="minorHAnsi"/>
          <w:sz w:val="22"/>
          <w:szCs w:val="22"/>
        </w:rPr>
        <w:sym w:font="Wingdings" w:char="F071"/>
      </w:r>
      <w:r>
        <w:rPr>
          <w:rFonts w:asciiTheme="minorHAnsi" w:hAnsiTheme="minorHAnsi"/>
          <w:sz w:val="22"/>
          <w:szCs w:val="22"/>
        </w:rPr>
        <w:t xml:space="preserve"> </w:t>
      </w:r>
      <w:r w:rsidR="00B1595E" w:rsidRPr="00B1595E">
        <w:rPr>
          <w:rFonts w:asciiTheme="minorHAnsi" w:hAnsiTheme="minorHAnsi"/>
          <w:sz w:val="22"/>
          <w:szCs w:val="22"/>
        </w:rPr>
        <w:t xml:space="preserve">Il peut être perçu une </w:t>
      </w:r>
      <w:r w:rsidR="00B1595E" w:rsidRPr="00B7547D">
        <w:rPr>
          <w:rFonts w:asciiTheme="minorHAnsi" w:hAnsiTheme="minorHAnsi"/>
          <w:b/>
          <w:sz w:val="22"/>
          <w:szCs w:val="22"/>
        </w:rPr>
        <w:t>redevance de mouillage due pour tout navire, mouillant sur ancre ou tout dispositif équivalent reliant le navire au fond de la mer, pendant une quelconque période du 1er juin au 30 septembre</w:t>
      </w:r>
      <w:r w:rsidR="00B1595E" w:rsidRPr="00B1595E">
        <w:rPr>
          <w:rFonts w:asciiTheme="minorHAnsi" w:hAnsiTheme="minorHAnsi"/>
          <w:sz w:val="22"/>
          <w:szCs w:val="22"/>
        </w:rPr>
        <w:t xml:space="preserve"> en métropole, toute l’année dans les eaux ultra-marines, dans les parties non interdites du périmètre d’une aire marine protégée mentionnée à l’article L. 334-1</w:t>
      </w:r>
      <w:r w:rsidR="00B1595E">
        <w:rPr>
          <w:rFonts w:asciiTheme="minorHAnsi" w:hAnsiTheme="minorHAnsi"/>
          <w:sz w:val="22"/>
          <w:szCs w:val="22"/>
        </w:rPr>
        <w:t xml:space="preserve"> du code de l’environnement</w:t>
      </w:r>
      <w:r w:rsidR="00B1595E" w:rsidRPr="00B1595E">
        <w:rPr>
          <w:rFonts w:asciiTheme="minorHAnsi" w:hAnsiTheme="minorHAnsi"/>
          <w:sz w:val="22"/>
          <w:szCs w:val="22"/>
        </w:rPr>
        <w:t>.</w:t>
      </w:r>
      <w:r w:rsidR="00B7547D">
        <w:rPr>
          <w:rFonts w:asciiTheme="minorHAnsi" w:hAnsiTheme="minorHAnsi"/>
          <w:sz w:val="22"/>
          <w:szCs w:val="22"/>
        </w:rPr>
        <w:t xml:space="preserve"> </w:t>
      </w:r>
      <w:r w:rsidR="00B1595E" w:rsidRPr="00B1595E">
        <w:rPr>
          <w:rFonts w:asciiTheme="minorHAnsi" w:hAnsiTheme="minorHAnsi"/>
          <w:sz w:val="22"/>
          <w:szCs w:val="22"/>
        </w:rPr>
        <w:t>Le mouillage réalisé en cas de danger grave, certain et imminent est exonéré d’une telle redevance.</w:t>
      </w:r>
    </w:p>
    <w:p w:rsidR="00B7547D" w:rsidRDefault="00B7547D" w:rsidP="00B1595E">
      <w:pPr>
        <w:pStyle w:val="dmodeles-petite-loiconfectiontexteloitexte"/>
        <w:spacing w:before="0" w:beforeAutospacing="0" w:after="0" w:afterAutospacing="0"/>
        <w:jc w:val="both"/>
        <w:rPr>
          <w:rFonts w:asciiTheme="minorHAnsi" w:hAnsiTheme="minorHAnsi"/>
          <w:sz w:val="22"/>
          <w:szCs w:val="22"/>
        </w:rPr>
      </w:pPr>
    </w:p>
    <w:p w:rsidR="00B1595E" w:rsidRPr="00B1595E" w:rsidRDefault="00B1595E" w:rsidP="00B1595E">
      <w:pPr>
        <w:pStyle w:val="dmodeles-petite-loiconfectiontexteloitexte"/>
        <w:spacing w:before="0" w:beforeAutospacing="0" w:after="0" w:afterAutospacing="0"/>
        <w:jc w:val="both"/>
        <w:rPr>
          <w:rFonts w:asciiTheme="minorHAnsi" w:hAnsiTheme="minorHAnsi"/>
          <w:sz w:val="22"/>
          <w:szCs w:val="22"/>
        </w:rPr>
      </w:pPr>
      <w:r w:rsidRPr="00B1595E">
        <w:rPr>
          <w:rFonts w:asciiTheme="minorHAnsi" w:hAnsiTheme="minorHAnsi"/>
          <w:sz w:val="22"/>
          <w:szCs w:val="22"/>
        </w:rPr>
        <w:t xml:space="preserve">Son montant est établi en fonction notamment de la durée du mouillage et de la longueur du navire et </w:t>
      </w:r>
      <w:r w:rsidRPr="00B7547D">
        <w:rPr>
          <w:rFonts w:asciiTheme="minorHAnsi" w:hAnsiTheme="minorHAnsi"/>
          <w:b/>
          <w:sz w:val="22"/>
          <w:szCs w:val="22"/>
        </w:rPr>
        <w:t>ne peut dépasser 20 € par mètre de longueur du navire et par jour</w:t>
      </w:r>
      <w:r w:rsidRPr="00B1595E">
        <w:rPr>
          <w:rFonts w:asciiTheme="minorHAnsi" w:hAnsiTheme="minorHAnsi"/>
          <w:sz w:val="22"/>
          <w:szCs w:val="22"/>
        </w:rPr>
        <w:t>. Il est fixé par arrêté du ministre chargé du budget sur proposition du ministre chargé de l’environnement et de la mer.</w:t>
      </w:r>
    </w:p>
    <w:p w:rsidR="00B1595E" w:rsidRPr="00B1595E" w:rsidRDefault="00B1595E" w:rsidP="00B1595E">
      <w:pPr>
        <w:pStyle w:val="dmodeles-petite-loiconfectiontexteloitexte"/>
        <w:spacing w:before="0" w:beforeAutospacing="0" w:after="0" w:afterAutospacing="0"/>
        <w:jc w:val="both"/>
        <w:rPr>
          <w:rFonts w:asciiTheme="minorHAnsi" w:hAnsiTheme="minorHAnsi"/>
          <w:sz w:val="22"/>
          <w:szCs w:val="22"/>
        </w:rPr>
      </w:pPr>
    </w:p>
    <w:p w:rsidR="00B1595E" w:rsidRPr="00B1595E" w:rsidRDefault="00B1595E" w:rsidP="00B1595E">
      <w:pPr>
        <w:pStyle w:val="dmodeles-petite-loiconfectiontexteloitexte"/>
        <w:spacing w:before="0" w:beforeAutospacing="0" w:after="0" w:afterAutospacing="0"/>
        <w:jc w:val="both"/>
        <w:rPr>
          <w:rFonts w:asciiTheme="minorHAnsi" w:hAnsiTheme="minorHAnsi"/>
          <w:sz w:val="22"/>
          <w:szCs w:val="22"/>
        </w:rPr>
      </w:pPr>
      <w:r w:rsidRPr="00B1595E">
        <w:rPr>
          <w:rFonts w:asciiTheme="minorHAnsi" w:hAnsiTheme="minorHAnsi"/>
          <w:sz w:val="22"/>
          <w:szCs w:val="22"/>
        </w:rPr>
        <w:t xml:space="preserve">Cette redevance est </w:t>
      </w:r>
      <w:r w:rsidRPr="00B1595E">
        <w:rPr>
          <w:rFonts w:asciiTheme="minorHAnsi" w:hAnsiTheme="minorHAnsi"/>
          <w:b/>
          <w:sz w:val="22"/>
          <w:szCs w:val="22"/>
        </w:rPr>
        <w:t>affectée aux collectivités territoriales ou aux établissements publics qui contribuent à la gestion d’une aire marine protégée</w:t>
      </w:r>
      <w:r w:rsidRPr="00B1595E">
        <w:rPr>
          <w:rFonts w:asciiTheme="minorHAnsi" w:hAnsiTheme="minorHAnsi"/>
          <w:sz w:val="22"/>
          <w:szCs w:val="22"/>
        </w:rPr>
        <w:t xml:space="preserve">. En contrepartie du service rendu, elle est </w:t>
      </w:r>
      <w:r w:rsidRPr="00B1595E">
        <w:rPr>
          <w:rFonts w:asciiTheme="minorHAnsi" w:hAnsiTheme="minorHAnsi"/>
          <w:sz w:val="22"/>
          <w:szCs w:val="22"/>
        </w:rPr>
        <w:lastRenderedPageBreak/>
        <w:t>consacrée à des actions en faveur de la préservation et, le cas échéant, à la restauration du bon état des espèces et des espaces marins de cette aire marine protégée.</w:t>
      </w:r>
    </w:p>
    <w:p w:rsidR="003C73B0" w:rsidRDefault="003C73B0" w:rsidP="003C73B0">
      <w:pPr>
        <w:spacing w:after="0"/>
        <w:jc w:val="both"/>
        <w:rPr>
          <w:rFonts w:eastAsia="Times New Roman" w:cs="Times New Roman"/>
        </w:rPr>
      </w:pPr>
    </w:p>
    <w:p w:rsidR="00D1268B" w:rsidRPr="00D1268B" w:rsidRDefault="00D1268B" w:rsidP="00D1268B">
      <w:pPr>
        <w:pStyle w:val="Paragraphedeliste"/>
        <w:numPr>
          <w:ilvl w:val="0"/>
          <w:numId w:val="17"/>
        </w:numPr>
        <w:spacing w:after="0" w:line="240" w:lineRule="auto"/>
        <w:jc w:val="both"/>
        <w:rPr>
          <w:rFonts w:eastAsia="Times New Roman" w:cs="Times New Roman"/>
          <w:b/>
          <w:u w:val="single"/>
        </w:rPr>
      </w:pPr>
      <w:r w:rsidRPr="00D1268B">
        <w:rPr>
          <w:rFonts w:eastAsia="Times New Roman" w:cs="Times New Roman"/>
          <w:b/>
          <w:u w:val="single"/>
        </w:rPr>
        <w:t xml:space="preserve">Sur l’élargissement du champ des compétences </w:t>
      </w:r>
      <w:r w:rsidR="00B7547D">
        <w:rPr>
          <w:rFonts w:eastAsia="Times New Roman" w:cs="Times New Roman"/>
          <w:b/>
          <w:u w:val="single"/>
        </w:rPr>
        <w:t>des</w:t>
      </w:r>
      <w:r w:rsidRPr="00D1268B">
        <w:rPr>
          <w:rFonts w:eastAsia="Times New Roman" w:cs="Times New Roman"/>
          <w:b/>
          <w:u w:val="single"/>
        </w:rPr>
        <w:t xml:space="preserve"> intercommunalités</w:t>
      </w:r>
      <w:r>
        <w:rPr>
          <w:rFonts w:eastAsia="Times New Roman" w:cs="Times New Roman"/>
          <w:b/>
          <w:u w:val="single"/>
        </w:rPr>
        <w:t xml:space="preserve"> (articles </w:t>
      </w:r>
      <w:r w:rsidR="00C86F6D">
        <w:rPr>
          <w:rFonts w:eastAsia="Times New Roman" w:cs="Times New Roman"/>
          <w:b/>
          <w:u w:val="single"/>
        </w:rPr>
        <w:t xml:space="preserve">18, </w:t>
      </w:r>
      <w:r>
        <w:rPr>
          <w:rFonts w:eastAsia="Times New Roman" w:cs="Times New Roman"/>
          <w:b/>
          <w:u w:val="single"/>
        </w:rPr>
        <w:t>19, 20)</w:t>
      </w:r>
    </w:p>
    <w:p w:rsidR="00D1268B" w:rsidRPr="003C73B0" w:rsidRDefault="00D1268B" w:rsidP="003C73B0">
      <w:pPr>
        <w:spacing w:after="0"/>
        <w:jc w:val="both"/>
        <w:rPr>
          <w:rFonts w:eastAsia="Times New Roman" w:cs="Times New Roman"/>
        </w:rPr>
      </w:pPr>
    </w:p>
    <w:p w:rsidR="00C86F6D" w:rsidRPr="00C86F6D" w:rsidRDefault="00D1268B" w:rsidP="00C86F6D">
      <w:pPr>
        <w:spacing w:after="0" w:line="240" w:lineRule="auto"/>
        <w:jc w:val="both"/>
        <w:rPr>
          <w:rFonts w:eastAsia="Times New Roman" w:cs="Times New Roman"/>
        </w:rPr>
      </w:pPr>
      <w:r w:rsidRPr="00A53450">
        <w:rPr>
          <w:rFonts w:eastAsia="Times New Roman" w:cs="Times New Roman"/>
        </w:rPr>
        <w:sym w:font="Wingdings" w:char="F071"/>
      </w:r>
      <w:r w:rsidR="00C86F6D" w:rsidRPr="00C86F6D">
        <w:rPr>
          <w:rFonts w:eastAsia="Times New Roman" w:cs="Times New Roman"/>
        </w:rPr>
        <w:t xml:space="preserve"> L'</w:t>
      </w:r>
      <w:r w:rsidR="00C86F6D" w:rsidRPr="00C86F6D">
        <w:rPr>
          <w:rFonts w:eastAsia="Times New Roman" w:cs="Times New Roman"/>
          <w:b/>
        </w:rPr>
        <w:t xml:space="preserve">article 18 </w:t>
      </w:r>
      <w:r w:rsidR="00C86F6D" w:rsidRPr="00C86F6D">
        <w:rPr>
          <w:rFonts w:eastAsia="Times New Roman" w:cs="Times New Roman"/>
        </w:rPr>
        <w:t xml:space="preserve">a pour objet de renforcer le bloc des compétences obligatoires des communautés de communes et de compléter le champ des compétences optionnelles. </w:t>
      </w:r>
    </w:p>
    <w:p w:rsidR="00C86F6D" w:rsidRPr="00C86F6D" w:rsidRDefault="00C86F6D" w:rsidP="00C86F6D">
      <w:pPr>
        <w:pStyle w:val="Paragraphedeliste"/>
        <w:numPr>
          <w:ilvl w:val="0"/>
          <w:numId w:val="22"/>
        </w:numPr>
        <w:spacing w:after="0" w:line="240" w:lineRule="auto"/>
        <w:jc w:val="both"/>
        <w:rPr>
          <w:rFonts w:eastAsia="Times New Roman" w:cs="Times New Roman"/>
          <w:lang w:eastAsia="fr-FR" w:bidi="ar-SA"/>
        </w:rPr>
      </w:pPr>
      <w:r w:rsidRPr="00C86F6D">
        <w:rPr>
          <w:rFonts w:eastAsia="Times New Roman" w:cs="Times New Roman"/>
          <w:lang w:eastAsia="fr-FR" w:bidi="ar-SA"/>
        </w:rPr>
        <w:t xml:space="preserve">S'agissant des compétences obligatoires, ce groupe </w:t>
      </w:r>
      <w:r>
        <w:rPr>
          <w:rFonts w:eastAsia="Times New Roman" w:cs="Times New Roman"/>
          <w:lang w:eastAsia="fr-FR" w:bidi="ar-SA"/>
        </w:rPr>
        <w:t xml:space="preserve">est complété </w:t>
      </w:r>
      <w:r w:rsidRPr="00C86F6D">
        <w:rPr>
          <w:rFonts w:eastAsia="Times New Roman" w:cs="Times New Roman"/>
          <w:lang w:eastAsia="fr-FR" w:bidi="ar-SA"/>
        </w:rPr>
        <w:t xml:space="preserve">par deux items : </w:t>
      </w:r>
    </w:p>
    <w:p w:rsidR="00C86F6D" w:rsidRPr="00C86F6D" w:rsidRDefault="00C86F6D" w:rsidP="00C86F6D">
      <w:pPr>
        <w:pStyle w:val="Paragraphedeliste"/>
        <w:numPr>
          <w:ilvl w:val="1"/>
          <w:numId w:val="22"/>
        </w:numPr>
        <w:spacing w:after="0" w:line="240" w:lineRule="auto"/>
        <w:jc w:val="both"/>
        <w:rPr>
          <w:rFonts w:eastAsia="Times New Roman" w:cs="Times New Roman"/>
          <w:lang w:eastAsia="fr-FR" w:bidi="ar-SA"/>
        </w:rPr>
      </w:pPr>
      <w:r w:rsidRPr="00C86F6D">
        <w:rPr>
          <w:rFonts w:eastAsia="Times New Roman" w:cs="Times New Roman"/>
          <w:lang w:eastAsia="fr-FR" w:bidi="ar-SA"/>
        </w:rPr>
        <w:t>la promotion du tourisme par la création d'office de tourisme et,</w:t>
      </w:r>
    </w:p>
    <w:p w:rsidR="00C86F6D" w:rsidRPr="00C86F6D" w:rsidRDefault="00C86F6D" w:rsidP="00C86F6D">
      <w:pPr>
        <w:pStyle w:val="Paragraphedeliste"/>
        <w:numPr>
          <w:ilvl w:val="1"/>
          <w:numId w:val="22"/>
        </w:numPr>
        <w:spacing w:after="0" w:line="240" w:lineRule="auto"/>
        <w:jc w:val="both"/>
        <w:rPr>
          <w:rFonts w:eastAsia="Times New Roman" w:cs="Times New Roman"/>
          <w:lang w:eastAsia="fr-FR" w:bidi="ar-SA"/>
        </w:rPr>
      </w:pPr>
      <w:r w:rsidRPr="00C86F6D">
        <w:rPr>
          <w:rFonts w:eastAsia="Times New Roman" w:cs="Times New Roman"/>
          <w:lang w:eastAsia="fr-FR" w:bidi="ar-SA"/>
        </w:rPr>
        <w:t xml:space="preserve">l'aménagement, l'entretien et la gestion des aires d'accueil des gens du voyage. </w:t>
      </w:r>
    </w:p>
    <w:p w:rsidR="00C86F6D" w:rsidRPr="00C86F6D" w:rsidRDefault="00C86F6D" w:rsidP="00C86F6D">
      <w:pPr>
        <w:pStyle w:val="Paragraphedeliste"/>
        <w:numPr>
          <w:ilvl w:val="0"/>
          <w:numId w:val="22"/>
        </w:numPr>
        <w:spacing w:after="0" w:line="240" w:lineRule="auto"/>
        <w:jc w:val="both"/>
        <w:rPr>
          <w:rFonts w:eastAsia="Times New Roman" w:cs="Times New Roman"/>
          <w:lang w:eastAsia="fr-FR" w:bidi="ar-SA"/>
        </w:rPr>
      </w:pPr>
      <w:r w:rsidRPr="00C86F6D">
        <w:rPr>
          <w:rFonts w:eastAsia="Times New Roman" w:cs="Times New Roman"/>
          <w:lang w:eastAsia="fr-FR" w:bidi="ar-SA"/>
        </w:rPr>
        <w:t xml:space="preserve">S'agissant des compétences optionnelles, l'article ajoute une compétence relative à la création et la gestion de maisons de services au public définies par l'article 27-2 de la loi du 12 avril 2000 relative aux droits des citoyens dans leurs relations avec les administrations créé par la présente loi. </w:t>
      </w:r>
    </w:p>
    <w:p w:rsidR="00C86F6D" w:rsidRDefault="00C86F6D" w:rsidP="00D1268B">
      <w:pPr>
        <w:spacing w:after="0" w:line="240" w:lineRule="auto"/>
        <w:jc w:val="both"/>
        <w:rPr>
          <w:rFonts w:eastAsia="Times New Roman" w:cs="Times New Roman"/>
        </w:rPr>
      </w:pPr>
    </w:p>
    <w:p w:rsidR="00FF7BFC" w:rsidRPr="00FF7BFC" w:rsidRDefault="00FF7BFC" w:rsidP="00D1268B">
      <w:pPr>
        <w:spacing w:after="0" w:line="240" w:lineRule="auto"/>
        <w:jc w:val="both"/>
        <w:rPr>
          <w:rFonts w:eastAsia="Times New Roman" w:cs="Times New Roman"/>
          <w:b/>
        </w:rPr>
      </w:pPr>
      <w:r w:rsidRPr="00FF7BFC">
        <w:rPr>
          <w:rFonts w:eastAsia="Times New Roman" w:cs="Times New Roman"/>
          <w:b/>
        </w:rPr>
        <w:t xml:space="preserve">Un amendement du Rapporteur HYEST a précisé </w:t>
      </w:r>
      <w:r w:rsidRPr="00FF7BFC">
        <w:rPr>
          <w:b/>
        </w:rPr>
        <w:t>la compétence des communautés de communes en matière de développement économique en l'alignant sur celle aujourd'hui prévue pour les communautés de communes éligibles à une bonification de la dotation globale de fonctionnement.</w:t>
      </w:r>
    </w:p>
    <w:p w:rsidR="00FF7BFC" w:rsidRDefault="00FF7BFC" w:rsidP="00D1268B">
      <w:pPr>
        <w:spacing w:after="0" w:line="240" w:lineRule="auto"/>
        <w:jc w:val="both"/>
        <w:rPr>
          <w:rFonts w:eastAsia="Times New Roman" w:cs="Times New Roman"/>
        </w:rPr>
      </w:pPr>
    </w:p>
    <w:p w:rsidR="00D1268B" w:rsidRPr="00A53450" w:rsidRDefault="00C86F6D" w:rsidP="00D1268B">
      <w:pPr>
        <w:spacing w:after="0" w:line="240" w:lineRule="auto"/>
        <w:jc w:val="both"/>
        <w:rPr>
          <w:rFonts w:eastAsia="Times New Roman" w:cs="Times New Roman"/>
        </w:rPr>
      </w:pPr>
      <w:r>
        <w:rPr>
          <w:rFonts w:eastAsia="Times New Roman" w:cs="Times New Roman"/>
        </w:rPr>
        <w:sym w:font="Wingdings" w:char="F071"/>
      </w:r>
      <w:r w:rsidR="00D1268B" w:rsidRPr="00A53450">
        <w:rPr>
          <w:rFonts w:eastAsia="Times New Roman" w:cs="Times New Roman"/>
        </w:rPr>
        <w:t xml:space="preserve"> L'</w:t>
      </w:r>
      <w:r w:rsidR="00D1268B" w:rsidRPr="00A53450">
        <w:rPr>
          <w:rFonts w:eastAsia="Times New Roman" w:cs="Times New Roman"/>
          <w:b/>
        </w:rPr>
        <w:t xml:space="preserve">article 19 </w:t>
      </w:r>
      <w:r w:rsidR="00D1268B" w:rsidRPr="00A53450">
        <w:rPr>
          <w:rFonts w:eastAsia="Times New Roman" w:cs="Times New Roman"/>
        </w:rPr>
        <w:t xml:space="preserve">a pour objet de compléter le champ des compétences nécessaires aux communautés de communes pour être éligibles à une bonification de la dotation globale de fonctionnement en ajoutant : </w:t>
      </w:r>
    </w:p>
    <w:p w:rsidR="00D1268B" w:rsidRPr="00A53450" w:rsidRDefault="00D1268B" w:rsidP="00D1268B">
      <w:pPr>
        <w:pStyle w:val="Paragraphedeliste"/>
        <w:numPr>
          <w:ilvl w:val="0"/>
          <w:numId w:val="21"/>
        </w:numPr>
        <w:spacing w:after="0" w:line="240" w:lineRule="auto"/>
        <w:jc w:val="both"/>
        <w:rPr>
          <w:rFonts w:eastAsia="Times New Roman" w:cs="Times New Roman"/>
          <w:lang w:eastAsia="fr-FR" w:bidi="ar-SA"/>
        </w:rPr>
      </w:pPr>
      <w:r w:rsidRPr="00A53450">
        <w:rPr>
          <w:rFonts w:eastAsia="Times New Roman" w:cs="Times New Roman"/>
          <w:lang w:eastAsia="fr-FR" w:bidi="ar-SA"/>
        </w:rPr>
        <w:t>la promotion du tourisme par la création d'offices de tourisme ;</w:t>
      </w:r>
    </w:p>
    <w:p w:rsidR="00D1268B" w:rsidRPr="00A53450" w:rsidRDefault="00D1268B" w:rsidP="00D1268B">
      <w:pPr>
        <w:pStyle w:val="Paragraphedeliste"/>
        <w:numPr>
          <w:ilvl w:val="0"/>
          <w:numId w:val="21"/>
        </w:numPr>
        <w:spacing w:after="0" w:line="240" w:lineRule="auto"/>
        <w:jc w:val="both"/>
        <w:rPr>
          <w:rFonts w:eastAsia="Times New Roman" w:cs="Times New Roman"/>
          <w:lang w:eastAsia="fr-FR" w:bidi="ar-SA"/>
        </w:rPr>
      </w:pPr>
      <w:r w:rsidRPr="00A53450">
        <w:rPr>
          <w:rFonts w:eastAsia="Times New Roman" w:cs="Times New Roman"/>
          <w:lang w:eastAsia="fr-FR" w:bidi="ar-SA"/>
        </w:rPr>
        <w:t>l'aménagement, l'entretien et la gestion des aires d'accueil des gens du voyage ;</w:t>
      </w:r>
    </w:p>
    <w:p w:rsidR="00D1268B" w:rsidRPr="00A53450" w:rsidRDefault="00D1268B" w:rsidP="00D1268B">
      <w:pPr>
        <w:pStyle w:val="Paragraphedeliste"/>
        <w:numPr>
          <w:ilvl w:val="0"/>
          <w:numId w:val="21"/>
        </w:numPr>
        <w:spacing w:after="0" w:line="240" w:lineRule="auto"/>
        <w:jc w:val="both"/>
        <w:rPr>
          <w:rFonts w:eastAsia="Times New Roman" w:cs="Times New Roman"/>
          <w:lang w:eastAsia="fr-FR" w:bidi="ar-SA"/>
        </w:rPr>
      </w:pPr>
      <w:r w:rsidRPr="00A53450">
        <w:rPr>
          <w:rFonts w:eastAsia="Times New Roman" w:cs="Times New Roman"/>
          <w:lang w:eastAsia="fr-FR" w:bidi="ar-SA"/>
        </w:rPr>
        <w:t xml:space="preserve">la création et la gestion de maisons de services au public. </w:t>
      </w:r>
    </w:p>
    <w:p w:rsidR="00D1268B" w:rsidRPr="00A53450" w:rsidRDefault="00D1268B" w:rsidP="00D1268B">
      <w:pPr>
        <w:spacing w:after="0" w:line="240" w:lineRule="auto"/>
        <w:jc w:val="both"/>
        <w:rPr>
          <w:rFonts w:eastAsia="Times New Roman" w:cs="Times New Roman"/>
        </w:rPr>
      </w:pPr>
      <w:r w:rsidRPr="00A53450">
        <w:rPr>
          <w:rFonts w:eastAsia="Times New Roman" w:cs="Times New Roman"/>
        </w:rPr>
        <w:t>Pour être éligible à la DGF bonifiée, une communauté de communes devra donc exercer six compétences parmi la liste des onze prévues.</w:t>
      </w:r>
    </w:p>
    <w:p w:rsidR="00D1268B" w:rsidRPr="00A53450" w:rsidRDefault="00D1268B" w:rsidP="00D1268B">
      <w:pPr>
        <w:spacing w:after="0" w:line="240" w:lineRule="auto"/>
        <w:jc w:val="both"/>
        <w:rPr>
          <w:rFonts w:eastAsia="Times New Roman" w:cs="Times New Roman"/>
        </w:rPr>
      </w:pPr>
    </w:p>
    <w:p w:rsidR="00D1268B" w:rsidRPr="00A53450" w:rsidRDefault="00D1268B" w:rsidP="00D1268B">
      <w:pPr>
        <w:spacing w:after="0" w:line="240" w:lineRule="auto"/>
        <w:jc w:val="both"/>
        <w:rPr>
          <w:rFonts w:eastAsia="Times New Roman" w:cs="Times New Roman"/>
        </w:rPr>
      </w:pPr>
      <w:r w:rsidRPr="00A53450">
        <w:rPr>
          <w:rFonts w:eastAsia="Times New Roman" w:cs="Times New Roman"/>
        </w:rPr>
        <w:sym w:font="Wingdings" w:char="F071"/>
      </w:r>
      <w:r w:rsidRPr="00A53450">
        <w:rPr>
          <w:rFonts w:eastAsia="Times New Roman" w:cs="Times New Roman"/>
        </w:rPr>
        <w:t xml:space="preserve"> L'</w:t>
      </w:r>
      <w:r w:rsidRPr="00A53450">
        <w:rPr>
          <w:rFonts w:eastAsia="Times New Roman" w:cs="Times New Roman"/>
          <w:b/>
        </w:rPr>
        <w:t xml:space="preserve">article 20 </w:t>
      </w:r>
      <w:r w:rsidRPr="00A53450">
        <w:rPr>
          <w:rFonts w:eastAsia="Times New Roman" w:cs="Times New Roman"/>
        </w:rPr>
        <w:t xml:space="preserve">a pour objet de compléter le champ des compétences obligatoires des communautés d'agglomération par deux items : </w:t>
      </w:r>
    </w:p>
    <w:p w:rsidR="00D1268B" w:rsidRPr="00A53450" w:rsidRDefault="00D1268B" w:rsidP="00D1268B">
      <w:pPr>
        <w:pStyle w:val="Paragraphedeliste"/>
        <w:numPr>
          <w:ilvl w:val="0"/>
          <w:numId w:val="18"/>
        </w:numPr>
        <w:spacing w:after="0" w:line="240" w:lineRule="auto"/>
        <w:jc w:val="both"/>
        <w:rPr>
          <w:rFonts w:eastAsia="Times New Roman" w:cs="Times New Roman"/>
          <w:lang w:eastAsia="fr-FR" w:bidi="ar-SA"/>
        </w:rPr>
      </w:pPr>
      <w:r w:rsidRPr="00A53450">
        <w:rPr>
          <w:rFonts w:eastAsia="Times New Roman" w:cs="Times New Roman"/>
          <w:lang w:eastAsia="fr-FR" w:bidi="ar-SA"/>
        </w:rPr>
        <w:t>la promotion du tourisme par la création d'office de tourisme ;</w:t>
      </w:r>
    </w:p>
    <w:p w:rsidR="00D1268B" w:rsidRPr="00A53450" w:rsidRDefault="00D1268B" w:rsidP="00D1268B">
      <w:pPr>
        <w:pStyle w:val="Paragraphedeliste"/>
        <w:numPr>
          <w:ilvl w:val="0"/>
          <w:numId w:val="18"/>
        </w:numPr>
        <w:spacing w:after="0" w:line="240" w:lineRule="auto"/>
        <w:jc w:val="both"/>
        <w:rPr>
          <w:rFonts w:eastAsia="Times New Roman" w:cs="Times New Roman"/>
          <w:lang w:eastAsia="fr-FR" w:bidi="ar-SA"/>
        </w:rPr>
      </w:pPr>
      <w:r w:rsidRPr="00A53450">
        <w:rPr>
          <w:rFonts w:eastAsia="Times New Roman" w:cs="Times New Roman"/>
          <w:lang w:eastAsia="fr-FR" w:bidi="ar-SA"/>
        </w:rPr>
        <w:t xml:space="preserve">l'aménagement et l'entretien et la gestion des aires d'accueil des gens du voyage. </w:t>
      </w:r>
    </w:p>
    <w:p w:rsidR="003C73B0" w:rsidRDefault="00D1268B" w:rsidP="008540D4">
      <w:pPr>
        <w:spacing w:after="0" w:line="240" w:lineRule="auto"/>
        <w:jc w:val="both"/>
        <w:rPr>
          <w:rFonts w:eastAsia="Times New Roman" w:cs="Times New Roman"/>
        </w:rPr>
      </w:pPr>
      <w:r w:rsidRPr="00A53450">
        <w:rPr>
          <w:rFonts w:eastAsia="Times New Roman" w:cs="Times New Roman"/>
        </w:rPr>
        <w:t xml:space="preserve">Une compétence optionnelle sur la création et la gestion de maisons de services au public définies par le nouvel article 27-2 de la loi du 12 avril 2000 relative aux droits des citoyens dans leurs relations avec les administrations est créée. </w:t>
      </w:r>
    </w:p>
    <w:p w:rsidR="008540D4" w:rsidRDefault="008540D4" w:rsidP="008540D4">
      <w:pPr>
        <w:spacing w:after="0" w:line="240" w:lineRule="auto"/>
        <w:jc w:val="both"/>
        <w:rPr>
          <w:rFonts w:ascii="Arial" w:eastAsia="Times New Roman" w:hAnsi="Arial" w:cs="Arial"/>
        </w:rPr>
      </w:pPr>
    </w:p>
    <w:p w:rsidR="008540D4" w:rsidRPr="008540D4" w:rsidRDefault="008540D4" w:rsidP="008540D4">
      <w:pPr>
        <w:spacing w:after="0" w:line="240" w:lineRule="auto"/>
        <w:jc w:val="both"/>
        <w:rPr>
          <w:rFonts w:eastAsia="Times New Roman" w:cs="Times New Roman"/>
        </w:rPr>
      </w:pPr>
      <w:r>
        <w:rPr>
          <w:rFonts w:ascii="Arial" w:eastAsia="Times New Roman" w:hAnsi="Arial" w:cs="Arial"/>
        </w:rPr>
        <w:sym w:font="Wingdings" w:char="F071"/>
      </w:r>
      <w:r>
        <w:rPr>
          <w:rFonts w:ascii="Arial" w:eastAsia="Times New Roman" w:hAnsi="Arial" w:cs="Arial"/>
        </w:rPr>
        <w:t xml:space="preserve"> </w:t>
      </w:r>
      <w:r w:rsidRPr="008540D4">
        <w:rPr>
          <w:rFonts w:eastAsia="Times New Roman" w:cs="Times New Roman"/>
        </w:rPr>
        <w:t>L'</w:t>
      </w:r>
      <w:r w:rsidRPr="008540D4">
        <w:rPr>
          <w:rFonts w:eastAsia="Times New Roman" w:cs="Times New Roman"/>
          <w:b/>
        </w:rPr>
        <w:t xml:space="preserve">article 21 </w:t>
      </w:r>
      <w:r w:rsidRPr="008540D4">
        <w:rPr>
          <w:rFonts w:eastAsia="Times New Roman" w:cs="Times New Roman"/>
        </w:rPr>
        <w:t xml:space="preserve">donne un délai allant jusqu'au 30 juin 2016 pour permettre aux EPCI de se conformer aux nouvelles dispositions de la loi, en étendant leur champ de compétence ou en les modifiant le cas échéant. En l'absence de décision, le préfet est habilité à modifier les statuts des EPCI concernés. </w:t>
      </w:r>
    </w:p>
    <w:p w:rsidR="008540D4" w:rsidRDefault="008540D4" w:rsidP="003C73B0">
      <w:pPr>
        <w:spacing w:after="0"/>
        <w:jc w:val="both"/>
      </w:pPr>
    </w:p>
    <w:p w:rsidR="008540D4" w:rsidRPr="008540D4" w:rsidRDefault="008540D4" w:rsidP="003C73B0">
      <w:pPr>
        <w:spacing w:after="0"/>
        <w:jc w:val="both"/>
        <w:rPr>
          <w:rFonts w:eastAsia="Times New Roman" w:cs="Times New Roman"/>
        </w:rPr>
      </w:pPr>
      <w:r w:rsidRPr="008540D4">
        <w:t>Lorsque les communautés de communes et communautés d’agglomération exercent la compétence de tourisme, les offices de tourisme des communes touristiques et des stations classées de tourisme sont transformés en bureau d’information de l’office de tourisme intercommunal, sauf lorsqu’ils deviennent le siège de l’office de tourisme intercommunal.</w:t>
      </w:r>
    </w:p>
    <w:p w:rsidR="00FF7BFC" w:rsidRDefault="00FF7BFC" w:rsidP="003C73B0">
      <w:pPr>
        <w:spacing w:after="0"/>
        <w:jc w:val="both"/>
        <w:rPr>
          <w:rFonts w:eastAsia="Times New Roman" w:cs="Times New Roman"/>
        </w:rPr>
      </w:pPr>
    </w:p>
    <w:p w:rsidR="005F70C5" w:rsidRDefault="005F70C5" w:rsidP="003C73B0">
      <w:pPr>
        <w:spacing w:after="0"/>
        <w:jc w:val="both"/>
        <w:rPr>
          <w:rFonts w:eastAsia="Times New Roman" w:cs="Times New Roman"/>
        </w:rPr>
      </w:pPr>
    </w:p>
    <w:p w:rsidR="005F70C5" w:rsidRDefault="005F70C5" w:rsidP="003C73B0">
      <w:pPr>
        <w:spacing w:after="0"/>
        <w:jc w:val="both"/>
        <w:rPr>
          <w:rFonts w:eastAsia="Times New Roman" w:cs="Times New Roman"/>
        </w:rPr>
      </w:pPr>
    </w:p>
    <w:p w:rsidR="0067599E" w:rsidRDefault="0067599E" w:rsidP="003C73B0">
      <w:pPr>
        <w:spacing w:after="0"/>
        <w:jc w:val="both"/>
        <w:rPr>
          <w:rFonts w:eastAsia="Times New Roman" w:cs="Times New Roman"/>
        </w:rPr>
      </w:pPr>
    </w:p>
    <w:p w:rsidR="00B66442" w:rsidRPr="00B66442" w:rsidRDefault="00B66442" w:rsidP="00B66442">
      <w:pPr>
        <w:pStyle w:val="Paragraphedeliste"/>
        <w:numPr>
          <w:ilvl w:val="0"/>
          <w:numId w:val="17"/>
        </w:numPr>
        <w:spacing w:after="0" w:line="240" w:lineRule="auto"/>
        <w:jc w:val="both"/>
        <w:rPr>
          <w:rFonts w:eastAsia="Times New Roman" w:cs="Times New Roman"/>
          <w:b/>
          <w:u w:val="single"/>
        </w:rPr>
      </w:pPr>
      <w:r w:rsidRPr="00B66442">
        <w:rPr>
          <w:b/>
          <w:u w:val="single"/>
        </w:rPr>
        <w:lastRenderedPageBreak/>
        <w:t>Sur la gestion des milieux aquatiques et de prévention des inondations </w:t>
      </w:r>
      <w:r w:rsidRPr="00B66442">
        <w:rPr>
          <w:rFonts w:eastAsia="Times New Roman" w:cs="Times New Roman"/>
          <w:b/>
          <w:u w:val="single"/>
        </w:rPr>
        <w:t xml:space="preserve"> (article additionnel après l’article 22)</w:t>
      </w:r>
    </w:p>
    <w:p w:rsidR="00B66442" w:rsidRPr="00B66442" w:rsidRDefault="00B66442" w:rsidP="00B66442">
      <w:pPr>
        <w:pStyle w:val="NormalWeb"/>
        <w:jc w:val="both"/>
        <w:rPr>
          <w:rFonts w:asciiTheme="minorHAnsi" w:hAnsiTheme="minorHAnsi"/>
          <w:sz w:val="22"/>
          <w:szCs w:val="22"/>
        </w:rPr>
      </w:pPr>
      <w:r w:rsidRPr="00B66442">
        <w:rPr>
          <w:rFonts w:asciiTheme="minorHAnsi" w:hAnsiTheme="minorHAnsi"/>
          <w:sz w:val="22"/>
          <w:szCs w:val="22"/>
        </w:rPr>
        <w:t xml:space="preserve">Un </w:t>
      </w:r>
      <w:r w:rsidRPr="00B66442">
        <w:rPr>
          <w:rFonts w:asciiTheme="minorHAnsi" w:hAnsiTheme="minorHAnsi"/>
          <w:b/>
          <w:sz w:val="22"/>
          <w:szCs w:val="22"/>
        </w:rPr>
        <w:t>amendement du Groupe RDSE</w:t>
      </w:r>
      <w:r w:rsidRPr="00B66442">
        <w:rPr>
          <w:rFonts w:asciiTheme="minorHAnsi" w:hAnsiTheme="minorHAnsi"/>
          <w:sz w:val="22"/>
          <w:szCs w:val="22"/>
        </w:rPr>
        <w:t xml:space="preserve"> a été adopté, visant à faciliter l’exercice de la compétence de « gestion des milieux aquatiques et de prévention des inondations » créée par la loi n°2014-58 du 27 janvier 2014 de modernisation de l’action publique territoriale et d’affirmation des métropoles. Cette compétence est attribuée au bloc communal à titre obligatoire au 1er janvier 2016 mais peut être exercée par anticipation.</w:t>
      </w:r>
      <w:r>
        <w:rPr>
          <w:rFonts w:asciiTheme="minorHAnsi" w:hAnsiTheme="minorHAnsi"/>
          <w:sz w:val="22"/>
          <w:szCs w:val="22"/>
        </w:rPr>
        <w:t xml:space="preserve"> </w:t>
      </w:r>
      <w:r w:rsidRPr="00B66442">
        <w:rPr>
          <w:rFonts w:asciiTheme="minorHAnsi" w:hAnsiTheme="minorHAnsi"/>
          <w:sz w:val="22"/>
          <w:szCs w:val="22"/>
        </w:rPr>
        <w:t xml:space="preserve">Cet article </w:t>
      </w:r>
      <w:r>
        <w:rPr>
          <w:rFonts w:asciiTheme="minorHAnsi" w:hAnsiTheme="minorHAnsi"/>
          <w:sz w:val="22"/>
          <w:szCs w:val="22"/>
        </w:rPr>
        <w:t xml:space="preserve">additionnel </w:t>
      </w:r>
      <w:r w:rsidRPr="00B66442">
        <w:rPr>
          <w:rFonts w:asciiTheme="minorHAnsi" w:hAnsiTheme="minorHAnsi"/>
          <w:sz w:val="22"/>
          <w:szCs w:val="22"/>
        </w:rPr>
        <w:t>permet la transformation de syndicats de droit commun, en charge de l’entretien des rivières ou de l’aménagement d’un bassin, en établissement public d'aménagement et de gestion de l'eau ou en établissement public territorial de bassin.</w:t>
      </w:r>
    </w:p>
    <w:p w:rsidR="00765F6C" w:rsidRPr="00B66442" w:rsidRDefault="00765F6C" w:rsidP="00B66442">
      <w:pPr>
        <w:pStyle w:val="Paragraphedeliste"/>
        <w:numPr>
          <w:ilvl w:val="0"/>
          <w:numId w:val="17"/>
        </w:numPr>
        <w:spacing w:after="0" w:line="240" w:lineRule="auto"/>
        <w:jc w:val="both"/>
        <w:rPr>
          <w:rFonts w:eastAsia="Times New Roman" w:cs="Times New Roman"/>
          <w:b/>
        </w:rPr>
      </w:pPr>
      <w:r w:rsidRPr="00B66442">
        <w:rPr>
          <w:rFonts w:eastAsia="Times New Roman" w:cs="Times New Roman"/>
          <w:b/>
        </w:rPr>
        <w:t>Article 22 ter et suivants</w:t>
      </w:r>
    </w:p>
    <w:p w:rsidR="004C591E" w:rsidRPr="00E462E5" w:rsidRDefault="004C591E" w:rsidP="00765F6C">
      <w:pPr>
        <w:pStyle w:val="NormalWeb"/>
        <w:jc w:val="both"/>
        <w:rPr>
          <w:rFonts w:asciiTheme="minorHAnsi" w:hAnsiTheme="minorHAnsi"/>
          <w:b/>
          <w:sz w:val="22"/>
          <w:szCs w:val="22"/>
        </w:rPr>
      </w:pPr>
      <w:r w:rsidRPr="00E462E5">
        <w:rPr>
          <w:rFonts w:asciiTheme="minorHAnsi" w:hAnsiTheme="minorHAnsi"/>
          <w:b/>
          <w:sz w:val="22"/>
          <w:szCs w:val="22"/>
        </w:rPr>
        <w:sym w:font="Wingdings" w:char="F071"/>
      </w:r>
      <w:r w:rsidRPr="00E462E5">
        <w:rPr>
          <w:rFonts w:asciiTheme="minorHAnsi" w:hAnsiTheme="minorHAnsi"/>
          <w:b/>
          <w:sz w:val="22"/>
          <w:szCs w:val="22"/>
        </w:rPr>
        <w:t xml:space="preserve"> </w:t>
      </w:r>
      <w:r w:rsidR="00E462E5">
        <w:rPr>
          <w:rFonts w:asciiTheme="minorHAnsi" w:hAnsiTheme="minorHAnsi"/>
          <w:b/>
          <w:sz w:val="22"/>
          <w:szCs w:val="22"/>
          <w:u w:val="single"/>
        </w:rPr>
        <w:t>Article additionnel</w:t>
      </w:r>
      <w:r w:rsidRPr="00E462E5">
        <w:rPr>
          <w:rFonts w:asciiTheme="minorHAnsi" w:hAnsiTheme="minorHAnsi"/>
          <w:b/>
          <w:sz w:val="22"/>
          <w:szCs w:val="22"/>
          <w:u w:val="single"/>
        </w:rPr>
        <w:t xml:space="preserve"> sur la création des CCAS</w:t>
      </w:r>
      <w:r w:rsidRPr="00E462E5">
        <w:rPr>
          <w:rFonts w:asciiTheme="minorHAnsi" w:hAnsiTheme="minorHAnsi"/>
          <w:b/>
          <w:sz w:val="22"/>
          <w:szCs w:val="22"/>
        </w:rPr>
        <w:t xml:space="preserve"> </w:t>
      </w:r>
    </w:p>
    <w:p w:rsidR="00E462E5" w:rsidRPr="00E462E5" w:rsidRDefault="00E462E5" w:rsidP="00E462E5">
      <w:pPr>
        <w:pStyle w:val="NormalWeb"/>
        <w:spacing w:before="0" w:beforeAutospacing="0" w:after="0" w:afterAutospacing="0"/>
        <w:jc w:val="both"/>
        <w:rPr>
          <w:rFonts w:asciiTheme="minorHAnsi" w:hAnsiTheme="minorHAnsi"/>
          <w:sz w:val="22"/>
          <w:szCs w:val="22"/>
        </w:rPr>
      </w:pPr>
      <w:r>
        <w:rPr>
          <w:rFonts w:asciiTheme="minorHAnsi" w:hAnsiTheme="minorHAnsi"/>
          <w:sz w:val="22"/>
          <w:szCs w:val="22"/>
        </w:rPr>
        <w:t>Un amendement du Groupe UDI a rendu</w:t>
      </w:r>
      <w:r w:rsidRPr="00E462E5">
        <w:rPr>
          <w:rFonts w:asciiTheme="minorHAnsi" w:hAnsiTheme="minorHAnsi"/>
          <w:sz w:val="22"/>
          <w:szCs w:val="22"/>
        </w:rPr>
        <w:t xml:space="preserve"> </w:t>
      </w:r>
      <w:r w:rsidRPr="00E462E5">
        <w:rPr>
          <w:rFonts w:asciiTheme="minorHAnsi" w:hAnsiTheme="minorHAnsi"/>
          <w:b/>
          <w:sz w:val="22"/>
          <w:szCs w:val="22"/>
        </w:rPr>
        <w:t>facultative la création d'un CCAS dans les communes de moins de 1500 habitants</w:t>
      </w:r>
      <w:r w:rsidRPr="00E462E5">
        <w:rPr>
          <w:rFonts w:asciiTheme="minorHAnsi" w:hAnsiTheme="minorHAnsi"/>
          <w:sz w:val="22"/>
          <w:szCs w:val="22"/>
        </w:rPr>
        <w:t>, alors que leur création est aujourd'hui obligatoire pour l'ensemble des communes, quelle que soit leur taille. Les missions des CCAS, dans les communes où il serait dissout ou non créé, seraient exercées soit par la commune elle-même, soit par l'établissement public de coopération intercommunale (EPCI) auquel appartient la commune ou encore le CIAS s'il est créé.</w:t>
      </w:r>
    </w:p>
    <w:p w:rsidR="00E462E5" w:rsidRPr="00E462E5" w:rsidRDefault="00E462E5" w:rsidP="00E462E5">
      <w:pPr>
        <w:pStyle w:val="NormalWeb"/>
        <w:spacing w:before="0" w:beforeAutospacing="0" w:after="0" w:afterAutospacing="0"/>
        <w:jc w:val="both"/>
        <w:rPr>
          <w:rFonts w:asciiTheme="minorHAnsi" w:hAnsiTheme="minorHAnsi"/>
          <w:sz w:val="22"/>
          <w:szCs w:val="22"/>
        </w:rPr>
      </w:pPr>
      <w:r w:rsidRPr="00E462E5">
        <w:rPr>
          <w:rFonts w:asciiTheme="minorHAnsi" w:hAnsiTheme="minorHAnsi"/>
          <w:sz w:val="22"/>
          <w:szCs w:val="22"/>
        </w:rPr>
        <w:t>Il prévoit également que les EPCI à fiscalité propre compétents en matière d'action sociale pourraient créer, à l'instar des communes, un CIAS compétent sur le territoire intercommunal. Les CIAS ainsi créés exerceraient les compétences des CCAS, selon qu'elles relèvent ou pas de l'article L. 123-5 du code de l'action sociale et des familles. Si les compétences devaient relever de cet article, alors les attributions pourraient être transférées, par délibérations concordantes de l'organe délibérant de l'EPCI et des conseils municipaux.</w:t>
      </w:r>
    </w:p>
    <w:p w:rsidR="004C591E" w:rsidRDefault="00E462E5" w:rsidP="00E462E5">
      <w:pPr>
        <w:pStyle w:val="NormalWeb"/>
        <w:spacing w:before="0" w:beforeAutospacing="0" w:after="0" w:afterAutospacing="0"/>
        <w:jc w:val="both"/>
        <w:rPr>
          <w:rFonts w:asciiTheme="minorHAnsi" w:hAnsiTheme="minorHAnsi"/>
          <w:sz w:val="22"/>
          <w:szCs w:val="22"/>
        </w:rPr>
      </w:pPr>
      <w:r w:rsidRPr="00E462E5">
        <w:rPr>
          <w:rFonts w:asciiTheme="minorHAnsi" w:hAnsiTheme="minorHAnsi"/>
          <w:sz w:val="22"/>
          <w:szCs w:val="22"/>
        </w:rPr>
        <w:t xml:space="preserve">Enfin, </w:t>
      </w:r>
      <w:r>
        <w:rPr>
          <w:rFonts w:asciiTheme="minorHAnsi" w:hAnsiTheme="minorHAnsi"/>
          <w:sz w:val="22"/>
          <w:szCs w:val="22"/>
        </w:rPr>
        <w:t>il est prévu</w:t>
      </w:r>
      <w:r w:rsidRPr="00E462E5">
        <w:rPr>
          <w:rFonts w:asciiTheme="minorHAnsi" w:hAnsiTheme="minorHAnsi"/>
          <w:sz w:val="22"/>
          <w:szCs w:val="22"/>
        </w:rPr>
        <w:t xml:space="preserve"> que les CIAS, à l'instar des CCAS, pourraient être dissous par délibération de l'organe délibérant de l'EPCI. Dans ce cas, les compétences seraient alors directement assumées par l'EPCI. Par ailleurs, si l'ensemble des attributions des CCAS, c'est-à-dire celles relevant de l'action sociale d'intérêt communautaire et les autres, sont transférées au CIAS, les CCAS seraient alors dissous de plein droit. Le transfert des services, du personnel et des biens d'un CCAS vers un CIAS s'effectuerait dans les conditions classiques d'un transfert de compétences entre une commune et un EPCI à fiscalité propre.</w:t>
      </w:r>
    </w:p>
    <w:p w:rsidR="00E462E5" w:rsidRDefault="00E462E5" w:rsidP="00765F6C">
      <w:pPr>
        <w:pStyle w:val="NormalWeb"/>
        <w:jc w:val="both"/>
        <w:rPr>
          <w:rFonts w:asciiTheme="minorHAnsi" w:hAnsiTheme="minorHAnsi"/>
          <w:b/>
          <w:sz w:val="22"/>
          <w:szCs w:val="22"/>
          <w:u w:val="single"/>
        </w:rPr>
      </w:pPr>
      <w:r w:rsidRPr="00E462E5">
        <w:rPr>
          <w:rFonts w:asciiTheme="minorHAnsi" w:hAnsiTheme="minorHAnsi"/>
          <w:b/>
          <w:sz w:val="22"/>
          <w:szCs w:val="22"/>
        </w:rPr>
        <w:sym w:font="Wingdings" w:char="F071"/>
      </w:r>
      <w:r w:rsidRPr="00E462E5">
        <w:rPr>
          <w:rFonts w:asciiTheme="minorHAnsi" w:hAnsiTheme="minorHAnsi"/>
          <w:b/>
          <w:sz w:val="22"/>
          <w:szCs w:val="22"/>
        </w:rPr>
        <w:t xml:space="preserve"> </w:t>
      </w:r>
      <w:r>
        <w:rPr>
          <w:rFonts w:asciiTheme="minorHAnsi" w:hAnsiTheme="minorHAnsi"/>
          <w:b/>
          <w:sz w:val="22"/>
          <w:szCs w:val="22"/>
          <w:u w:val="single"/>
        </w:rPr>
        <w:t>Article additionnel</w:t>
      </w:r>
      <w:r w:rsidRPr="00E462E5">
        <w:rPr>
          <w:rFonts w:asciiTheme="minorHAnsi" w:hAnsiTheme="minorHAnsi"/>
          <w:b/>
          <w:sz w:val="22"/>
          <w:szCs w:val="22"/>
          <w:u w:val="single"/>
        </w:rPr>
        <w:t xml:space="preserve"> sur l</w:t>
      </w:r>
      <w:r>
        <w:rPr>
          <w:rFonts w:asciiTheme="minorHAnsi" w:hAnsiTheme="minorHAnsi"/>
          <w:b/>
          <w:sz w:val="22"/>
          <w:szCs w:val="22"/>
          <w:u w:val="single"/>
        </w:rPr>
        <w:t xml:space="preserve">e droit d’expression des élus de l’opposition </w:t>
      </w:r>
    </w:p>
    <w:p w:rsidR="00765F6C" w:rsidRPr="00E462E5" w:rsidRDefault="00FF7BFC" w:rsidP="00765F6C">
      <w:pPr>
        <w:pStyle w:val="NormalWeb"/>
        <w:jc w:val="both"/>
        <w:rPr>
          <w:rFonts w:asciiTheme="minorHAnsi" w:hAnsiTheme="minorHAnsi"/>
          <w:b/>
          <w:sz w:val="22"/>
          <w:szCs w:val="22"/>
        </w:rPr>
      </w:pPr>
      <w:r w:rsidRPr="00765F6C">
        <w:rPr>
          <w:rFonts w:asciiTheme="minorHAnsi" w:hAnsiTheme="minorHAnsi"/>
          <w:sz w:val="22"/>
          <w:szCs w:val="22"/>
        </w:rPr>
        <w:t>Un amendement du Groupe Ecologistes a</w:t>
      </w:r>
      <w:r w:rsidR="00765F6C" w:rsidRPr="00765F6C">
        <w:rPr>
          <w:rFonts w:asciiTheme="minorHAnsi" w:hAnsiTheme="minorHAnsi"/>
          <w:sz w:val="22"/>
          <w:szCs w:val="22"/>
        </w:rPr>
        <w:t xml:space="preserve">pplique aux communes à partir de 1000 habitants, contre 3500 aujourd’hui le </w:t>
      </w:r>
      <w:r w:rsidR="00765F6C" w:rsidRPr="00E462E5">
        <w:rPr>
          <w:rFonts w:asciiTheme="minorHAnsi" w:hAnsiTheme="minorHAnsi"/>
          <w:b/>
          <w:sz w:val="22"/>
          <w:szCs w:val="22"/>
        </w:rPr>
        <w:t>droit pour les élus de l’opposition</w:t>
      </w:r>
      <w:r w:rsidR="00765F6C" w:rsidRPr="00765F6C">
        <w:rPr>
          <w:rFonts w:asciiTheme="minorHAnsi" w:hAnsiTheme="minorHAnsi"/>
          <w:sz w:val="22"/>
          <w:szCs w:val="22"/>
        </w:rPr>
        <w:t xml:space="preserve"> de s’exprimer dans le bulletin d'information générale sur les réalisations et la gestion du conseil municipal diffusé par la commune.</w:t>
      </w:r>
      <w:r w:rsidR="00B66442">
        <w:rPr>
          <w:rFonts w:asciiTheme="minorHAnsi" w:hAnsiTheme="minorHAnsi"/>
          <w:sz w:val="22"/>
          <w:szCs w:val="22"/>
        </w:rPr>
        <w:t xml:space="preserve"> </w:t>
      </w:r>
      <w:r w:rsidR="00765F6C" w:rsidRPr="00765F6C">
        <w:rPr>
          <w:rFonts w:asciiTheme="minorHAnsi" w:hAnsiTheme="minorHAnsi"/>
          <w:sz w:val="22"/>
          <w:szCs w:val="22"/>
        </w:rPr>
        <w:t>En effet, les communes de 1000 habitants ont connu une évolution démocratique lors des élections de 2014, à savoir le passage au scrutin de liste à la proportionnelle. Il convient dès lors d’adapter les droits des élus en conséquence de ce changement de mode de scrutin.</w:t>
      </w:r>
    </w:p>
    <w:p w:rsidR="00FF7BFC" w:rsidRPr="00E00468" w:rsidRDefault="00C0686A" w:rsidP="00E00468">
      <w:pPr>
        <w:pStyle w:val="Paragraphedeliste"/>
        <w:numPr>
          <w:ilvl w:val="0"/>
          <w:numId w:val="17"/>
        </w:numPr>
        <w:spacing w:after="0" w:line="240" w:lineRule="auto"/>
        <w:jc w:val="both"/>
        <w:rPr>
          <w:b/>
          <w:u w:val="single"/>
        </w:rPr>
      </w:pPr>
      <w:r w:rsidRPr="00E00468">
        <w:rPr>
          <w:b/>
          <w:u w:val="single"/>
        </w:rPr>
        <w:t>Chapitre 3 - Exercice des compétences communales et intercommunales en Polynésie française</w:t>
      </w:r>
    </w:p>
    <w:p w:rsidR="00C0686A" w:rsidRDefault="00C0686A" w:rsidP="003C73B0">
      <w:pPr>
        <w:spacing w:after="0"/>
        <w:jc w:val="both"/>
        <w:rPr>
          <w:b/>
          <w:u w:val="single"/>
        </w:rPr>
      </w:pPr>
    </w:p>
    <w:p w:rsidR="00C0686A" w:rsidRPr="00C0686A" w:rsidRDefault="00C0686A" w:rsidP="003C73B0">
      <w:pPr>
        <w:spacing w:after="0"/>
        <w:jc w:val="both"/>
        <w:rPr>
          <w:rFonts w:eastAsia="Times New Roman" w:cs="Times New Roman"/>
        </w:rPr>
      </w:pPr>
      <w:r w:rsidRPr="00C0686A">
        <w:rPr>
          <w:rFonts w:eastAsia="Times New Roman" w:cs="Times New Roman"/>
        </w:rPr>
        <w:t>Trois articles additionnels ont été ajoutés concernant l’exercice des compétences communales et intercommunales en Polynésie française</w:t>
      </w:r>
    </w:p>
    <w:p w:rsidR="00C0686A" w:rsidRPr="00C0686A" w:rsidRDefault="00C0686A" w:rsidP="00C0686A">
      <w:pPr>
        <w:pStyle w:val="NormalWeb"/>
        <w:jc w:val="both"/>
        <w:rPr>
          <w:rFonts w:asciiTheme="minorHAnsi" w:hAnsiTheme="minorHAnsi"/>
          <w:sz w:val="22"/>
          <w:szCs w:val="22"/>
        </w:rPr>
      </w:pPr>
      <w:r>
        <w:rPr>
          <w:rFonts w:asciiTheme="minorHAnsi" w:hAnsiTheme="minorHAnsi"/>
          <w:sz w:val="22"/>
          <w:szCs w:val="22"/>
        </w:rPr>
        <w:sym w:font="Wingdings" w:char="F071"/>
      </w:r>
      <w:r>
        <w:rPr>
          <w:rFonts w:asciiTheme="minorHAnsi" w:hAnsiTheme="minorHAnsi"/>
          <w:sz w:val="22"/>
          <w:szCs w:val="22"/>
        </w:rPr>
        <w:t xml:space="preserve"> Un article additionnel </w:t>
      </w:r>
      <w:r w:rsidRPr="00C0686A">
        <w:rPr>
          <w:rFonts w:asciiTheme="minorHAnsi" w:hAnsiTheme="minorHAnsi"/>
          <w:sz w:val="22"/>
          <w:szCs w:val="22"/>
        </w:rPr>
        <w:t xml:space="preserve">prévoit d’augmenter, pour les </w:t>
      </w:r>
      <w:r>
        <w:rPr>
          <w:rFonts w:asciiTheme="minorHAnsi" w:hAnsiTheme="minorHAnsi"/>
          <w:sz w:val="22"/>
          <w:szCs w:val="22"/>
        </w:rPr>
        <w:t>c</w:t>
      </w:r>
      <w:r w:rsidRPr="00C0686A">
        <w:rPr>
          <w:rFonts w:asciiTheme="minorHAnsi" w:hAnsiTheme="minorHAnsi"/>
          <w:sz w:val="22"/>
          <w:szCs w:val="22"/>
        </w:rPr>
        <w:t xml:space="preserve">ommunes de Polynésie française, le seuil du nombre d’habitants à partir duquel une </w:t>
      </w:r>
      <w:r>
        <w:rPr>
          <w:rFonts w:asciiTheme="minorHAnsi" w:hAnsiTheme="minorHAnsi"/>
          <w:sz w:val="22"/>
          <w:szCs w:val="22"/>
        </w:rPr>
        <w:t>c</w:t>
      </w:r>
      <w:r w:rsidRPr="00C0686A">
        <w:rPr>
          <w:rFonts w:asciiTheme="minorHAnsi" w:hAnsiTheme="minorHAnsi"/>
          <w:sz w:val="22"/>
          <w:szCs w:val="22"/>
        </w:rPr>
        <w:t xml:space="preserve">ommune devra disposer d’un site cinéraire pour accueillir </w:t>
      </w:r>
      <w:r w:rsidRPr="00C0686A">
        <w:rPr>
          <w:rFonts w:asciiTheme="minorHAnsi" w:hAnsiTheme="minorHAnsi"/>
          <w:sz w:val="22"/>
          <w:szCs w:val="22"/>
        </w:rPr>
        <w:lastRenderedPageBreak/>
        <w:t>les cendres des personnes décédées et dont le corps a donné lieu à crémation. Il est ainsi proposé de porter à 20.000 habitants ledit seuil.</w:t>
      </w:r>
    </w:p>
    <w:p w:rsidR="00C0686A" w:rsidRPr="00C0686A" w:rsidRDefault="00C0686A" w:rsidP="00C0686A">
      <w:pPr>
        <w:pStyle w:val="NormalWeb"/>
        <w:rPr>
          <w:rFonts w:asciiTheme="minorHAnsi" w:hAnsiTheme="minorHAnsi"/>
          <w:sz w:val="22"/>
          <w:szCs w:val="22"/>
        </w:rPr>
      </w:pPr>
      <w:r w:rsidRPr="00C0686A">
        <w:rPr>
          <w:rFonts w:asciiTheme="minorHAnsi" w:hAnsiTheme="minorHAnsi"/>
          <w:sz w:val="22"/>
          <w:szCs w:val="22"/>
        </w:rPr>
        <w:t>Il reporte également au 31 décembre 2020 le délai d’accomplissement des obligations prévues par cet article, compte tenu de l</w:t>
      </w:r>
      <w:r w:rsidR="00EA1E85">
        <w:rPr>
          <w:rFonts w:asciiTheme="minorHAnsi" w:hAnsiTheme="minorHAnsi"/>
          <w:sz w:val="22"/>
          <w:szCs w:val="22"/>
        </w:rPr>
        <w:t>a proximité du délai actuel (</w:t>
      </w:r>
      <w:r w:rsidRPr="00C0686A">
        <w:rPr>
          <w:rFonts w:asciiTheme="minorHAnsi" w:hAnsiTheme="minorHAnsi"/>
          <w:sz w:val="22"/>
          <w:szCs w:val="22"/>
        </w:rPr>
        <w:t>octobre 2017).</w:t>
      </w:r>
    </w:p>
    <w:p w:rsidR="00C0686A" w:rsidRPr="00C0686A" w:rsidRDefault="00C0686A" w:rsidP="003C73B0">
      <w:pPr>
        <w:spacing w:after="0"/>
        <w:jc w:val="both"/>
        <w:rPr>
          <w:rFonts w:eastAsia="Times New Roman" w:cs="Times New Roman"/>
        </w:rPr>
      </w:pPr>
      <w:r>
        <w:rPr>
          <w:rFonts w:eastAsia="Times New Roman" w:cs="Times New Roman"/>
        </w:rPr>
        <w:sym w:font="Wingdings" w:char="F071"/>
      </w:r>
      <w:r>
        <w:rPr>
          <w:rFonts w:eastAsia="Times New Roman" w:cs="Times New Roman"/>
        </w:rPr>
        <w:t xml:space="preserve"> </w:t>
      </w:r>
      <w:r w:rsidRPr="001475B3">
        <w:rPr>
          <w:rFonts w:eastAsia="Times New Roman" w:cs="Times New Roman"/>
          <w:b/>
        </w:rPr>
        <w:t>Un article additionnel</w:t>
      </w:r>
      <w:r w:rsidR="001475B3">
        <w:rPr>
          <w:rFonts w:eastAsia="Times New Roman" w:cs="Times New Roman"/>
          <w:b/>
        </w:rPr>
        <w:t xml:space="preserve"> prévoit de</w:t>
      </w:r>
      <w:r w:rsidRPr="001475B3">
        <w:rPr>
          <w:rFonts w:eastAsia="Times New Roman" w:cs="Times New Roman"/>
          <w:b/>
        </w:rPr>
        <w:t xml:space="preserve"> repousse</w:t>
      </w:r>
      <w:r w:rsidR="001475B3">
        <w:rPr>
          <w:rFonts w:eastAsia="Times New Roman" w:cs="Times New Roman"/>
          <w:b/>
        </w:rPr>
        <w:t>r</w:t>
      </w:r>
      <w:r w:rsidRPr="001475B3">
        <w:rPr>
          <w:rFonts w:eastAsia="Times New Roman" w:cs="Times New Roman"/>
          <w:b/>
        </w:rPr>
        <w:t xml:space="preserve"> les délais aussi bien pour l’accès à l’eau potable que pour le traitement des eaux usés (assainissement).</w:t>
      </w:r>
    </w:p>
    <w:p w:rsidR="00C0686A" w:rsidRPr="00C0686A" w:rsidRDefault="00C0686A" w:rsidP="003C73B0">
      <w:pPr>
        <w:spacing w:after="0"/>
        <w:jc w:val="both"/>
        <w:rPr>
          <w:rFonts w:eastAsia="Times New Roman" w:cs="Times New Roman"/>
        </w:rPr>
      </w:pPr>
    </w:p>
    <w:p w:rsidR="00C0686A" w:rsidRDefault="00C0686A" w:rsidP="003C73B0">
      <w:pPr>
        <w:spacing w:after="0"/>
        <w:jc w:val="both"/>
        <w:rPr>
          <w:rFonts w:eastAsia="Times New Roman" w:cs="Times New Roman"/>
        </w:rPr>
      </w:pPr>
      <w:r>
        <w:rPr>
          <w:rFonts w:eastAsia="Times New Roman" w:cs="Times New Roman"/>
        </w:rPr>
        <w:sym w:font="Wingdings" w:char="F071"/>
      </w:r>
      <w:r>
        <w:rPr>
          <w:rFonts w:eastAsia="Times New Roman" w:cs="Times New Roman"/>
        </w:rPr>
        <w:t xml:space="preserve"> </w:t>
      </w:r>
      <w:r w:rsidRPr="00C0686A">
        <w:rPr>
          <w:rFonts w:eastAsia="Times New Roman" w:cs="Times New Roman"/>
        </w:rPr>
        <w:t xml:space="preserve">Depuis le 15 septembre 2005, la Polynésie française a adopté la stratégie de gestion des déchets solides avec 14 autres pays de la région Pacifique. </w:t>
      </w:r>
      <w:r w:rsidRPr="001475B3">
        <w:rPr>
          <w:rFonts w:eastAsia="Times New Roman" w:cs="Times New Roman"/>
          <w:b/>
        </w:rPr>
        <w:t>Un article additionnel repousse donc de 2011 à 2024 les délais afin de permettre aux communes de Polynésie française de mettre en place des systèmes de traitement des déchets</w:t>
      </w:r>
      <w:r w:rsidRPr="00C0686A">
        <w:rPr>
          <w:rFonts w:eastAsia="Times New Roman" w:cs="Times New Roman"/>
        </w:rPr>
        <w:t xml:space="preserve"> répondant aux difficultés économiques et géographiques locales, et qui soient adaptés aux contraintes, mais également aux besoins, de chaque ar</w:t>
      </w:r>
      <w:r>
        <w:rPr>
          <w:rFonts w:eastAsia="Times New Roman" w:cs="Times New Roman"/>
        </w:rPr>
        <w:t>chipel et/ou de chaque commune.</w:t>
      </w:r>
    </w:p>
    <w:p w:rsidR="007C1152" w:rsidRDefault="007C1152" w:rsidP="003C73B0">
      <w:pPr>
        <w:spacing w:after="0"/>
        <w:jc w:val="both"/>
        <w:rPr>
          <w:rFonts w:eastAsia="Times New Roman" w:cs="Times New Roman"/>
        </w:rPr>
      </w:pPr>
    </w:p>
    <w:p w:rsidR="007C1152" w:rsidRPr="007C1152" w:rsidRDefault="005F70C5" w:rsidP="007C1152">
      <w:pPr>
        <w:pStyle w:val="dmodeles-petite-loiconfectiontexte4titrenum"/>
        <w:numPr>
          <w:ilvl w:val="0"/>
          <w:numId w:val="12"/>
        </w:numPr>
        <w:rPr>
          <w:rFonts w:asciiTheme="minorHAnsi" w:hAnsiTheme="minorHAnsi"/>
          <w:b/>
          <w:sz w:val="22"/>
          <w:szCs w:val="22"/>
          <w:u w:val="single"/>
          <w:lang w:eastAsia="en-US" w:bidi="en-US"/>
        </w:rPr>
      </w:pPr>
      <w:r w:rsidRPr="007C1152">
        <w:rPr>
          <w:rFonts w:asciiTheme="minorHAnsi" w:hAnsiTheme="minorHAnsi"/>
          <w:b/>
          <w:sz w:val="22"/>
          <w:szCs w:val="22"/>
          <w:u w:val="single"/>
          <w:lang w:eastAsia="en-US" w:bidi="en-US"/>
        </w:rPr>
        <w:t>TITRE III - SOLIDARITE ET EGALITE DES TERRITOIRES</w:t>
      </w:r>
    </w:p>
    <w:p w:rsidR="00B61315" w:rsidRPr="00075960" w:rsidRDefault="00075960" w:rsidP="00075960">
      <w:pPr>
        <w:pStyle w:val="Paragraphedeliste"/>
        <w:numPr>
          <w:ilvl w:val="0"/>
          <w:numId w:val="35"/>
        </w:numPr>
        <w:spacing w:after="0" w:line="240" w:lineRule="auto"/>
        <w:jc w:val="both"/>
        <w:rPr>
          <w:rFonts w:eastAsia="Times New Roman" w:cs="Times New Roman"/>
          <w:b/>
          <w:u w:val="single"/>
        </w:rPr>
      </w:pPr>
      <w:r>
        <w:rPr>
          <w:rFonts w:eastAsia="Times New Roman" w:cs="Times New Roman"/>
          <w:b/>
          <w:u w:val="single"/>
        </w:rPr>
        <w:t>Sur l</w:t>
      </w:r>
      <w:r w:rsidRPr="00075960">
        <w:rPr>
          <w:rFonts w:eastAsia="Times New Roman" w:cs="Times New Roman"/>
          <w:b/>
          <w:u w:val="single"/>
        </w:rPr>
        <w:t>a suppression de la clause de compétence générale des départements (Chapitre Ier)</w:t>
      </w:r>
    </w:p>
    <w:p w:rsidR="00B61315" w:rsidRDefault="00B61315" w:rsidP="00B61315">
      <w:pPr>
        <w:spacing w:after="0"/>
        <w:jc w:val="both"/>
      </w:pPr>
    </w:p>
    <w:p w:rsidR="00B61315" w:rsidRDefault="00F04D37" w:rsidP="00B61315">
      <w:pPr>
        <w:spacing w:after="0"/>
        <w:jc w:val="both"/>
      </w:pPr>
      <w:r>
        <w:sym w:font="Wingdings" w:char="F071"/>
      </w:r>
      <w:r>
        <w:t xml:space="preserve"> </w:t>
      </w:r>
      <w:r w:rsidR="00B61315">
        <w:t>Le Sénat a adopté, avec modifications, l’</w:t>
      </w:r>
      <w:r w:rsidR="00B61315">
        <w:rPr>
          <w:u w:val="single"/>
        </w:rPr>
        <w:t>article 24</w:t>
      </w:r>
      <w:r w:rsidR="00B61315">
        <w:t xml:space="preserve"> relatif à la </w:t>
      </w:r>
      <w:r w:rsidR="00B61315">
        <w:rPr>
          <w:rStyle w:val="lev"/>
        </w:rPr>
        <w:t>suppression de la clause de compétence générale des départements</w:t>
      </w:r>
      <w:r w:rsidR="00B61315">
        <w:t xml:space="preserve"> et à la définition de leurs capacités d’intervention. En séance, les sénateurs ont adopté plusieurs amendements dont</w:t>
      </w:r>
    </w:p>
    <w:p w:rsidR="00B61315" w:rsidRPr="00B61315" w:rsidRDefault="00B61315" w:rsidP="00B61315">
      <w:pPr>
        <w:pStyle w:val="Paragraphedeliste"/>
        <w:numPr>
          <w:ilvl w:val="1"/>
          <w:numId w:val="12"/>
        </w:numPr>
        <w:spacing w:after="0" w:line="240" w:lineRule="auto"/>
        <w:jc w:val="both"/>
        <w:rPr>
          <w:rFonts w:eastAsia="Times New Roman" w:cs="Times New Roman"/>
        </w:rPr>
      </w:pPr>
      <w:r>
        <w:t>deux amendements identiques qui visent à affirmer le rôle essentiel que doit jouer le département dans la solidarité territoriale ;</w:t>
      </w:r>
    </w:p>
    <w:p w:rsidR="00B61315" w:rsidRPr="00B61315" w:rsidRDefault="00B61315" w:rsidP="00B61315">
      <w:pPr>
        <w:pStyle w:val="Paragraphedeliste"/>
        <w:numPr>
          <w:ilvl w:val="1"/>
          <w:numId w:val="12"/>
        </w:numPr>
        <w:spacing w:after="0" w:line="240" w:lineRule="auto"/>
        <w:jc w:val="both"/>
        <w:rPr>
          <w:rFonts w:eastAsia="Times New Roman" w:cs="Times New Roman"/>
        </w:rPr>
      </w:pPr>
      <w:r>
        <w:t>trois amendements identiques (</w:t>
      </w:r>
      <w:r w:rsidRPr="00B61315">
        <w:rPr>
          <w:b/>
        </w:rPr>
        <w:t>dont un amendement RDSE</w:t>
      </w:r>
      <w:r>
        <w:t>) qui ont pour objet d’étendre les le champ de l’assistance technique des départements aux EPCI et communes aux secteurs de la voirie, de l’aménagement et de l’habitat.</w:t>
      </w:r>
    </w:p>
    <w:p w:rsidR="00B61315" w:rsidRDefault="00B61315" w:rsidP="00B61315">
      <w:pPr>
        <w:spacing w:after="0" w:line="240" w:lineRule="auto"/>
        <w:jc w:val="both"/>
        <w:rPr>
          <w:rFonts w:eastAsia="Times New Roman" w:cs="Times New Roman"/>
        </w:rPr>
      </w:pPr>
    </w:p>
    <w:p w:rsidR="00B61315" w:rsidRPr="00075960" w:rsidRDefault="00075960" w:rsidP="00075960">
      <w:pPr>
        <w:pStyle w:val="Paragraphedeliste"/>
        <w:numPr>
          <w:ilvl w:val="0"/>
          <w:numId w:val="35"/>
        </w:numPr>
        <w:spacing w:after="0" w:line="240" w:lineRule="auto"/>
        <w:jc w:val="both"/>
        <w:rPr>
          <w:rFonts w:eastAsia="Times New Roman" w:cs="Times New Roman"/>
          <w:b/>
          <w:u w:val="single"/>
        </w:rPr>
      </w:pPr>
      <w:r w:rsidRPr="00075960">
        <w:rPr>
          <w:rFonts w:eastAsia="Times New Roman" w:cs="Times New Roman"/>
          <w:b/>
          <w:u w:val="single"/>
        </w:rPr>
        <w:t>Sur le financement de la prise en charge des mineurs isolés étrangers</w:t>
      </w:r>
      <w:r>
        <w:rPr>
          <w:rFonts w:eastAsia="Times New Roman" w:cs="Times New Roman"/>
          <w:b/>
          <w:u w:val="single"/>
        </w:rPr>
        <w:t xml:space="preserve"> (article 24 bis)</w:t>
      </w:r>
    </w:p>
    <w:p w:rsidR="00075960" w:rsidRDefault="00075960" w:rsidP="00B61315">
      <w:pPr>
        <w:spacing w:after="0" w:line="240" w:lineRule="auto"/>
        <w:jc w:val="both"/>
        <w:rPr>
          <w:rFonts w:eastAsia="Times New Roman" w:cs="Times New Roman"/>
        </w:rPr>
      </w:pPr>
    </w:p>
    <w:p w:rsidR="00B61315" w:rsidRPr="00B61315" w:rsidRDefault="00F04D37" w:rsidP="00B61315">
      <w:pPr>
        <w:spacing w:after="0" w:line="240" w:lineRule="auto"/>
        <w:jc w:val="both"/>
      </w:pPr>
      <w:r>
        <w:sym w:font="Wingdings" w:char="F071"/>
      </w:r>
      <w:r>
        <w:t xml:space="preserve"> </w:t>
      </w:r>
      <w:r w:rsidR="00B61315" w:rsidRPr="00B61315">
        <w:t>Le Sénat</w:t>
      </w:r>
      <w:r w:rsidR="00B61315">
        <w:t xml:space="preserve"> </w:t>
      </w:r>
      <w:r w:rsidR="00075960">
        <w:t xml:space="preserve">a </w:t>
      </w:r>
      <w:r w:rsidR="00B61315" w:rsidRPr="00B61315">
        <w:t>adopté</w:t>
      </w:r>
      <w:r w:rsidR="00075960">
        <w:t xml:space="preserve"> en séance</w:t>
      </w:r>
      <w:r w:rsidR="00B61315" w:rsidRPr="00B61315">
        <w:t>, sans modification, l’</w:t>
      </w:r>
      <w:r w:rsidR="00B61315" w:rsidRPr="00075960">
        <w:rPr>
          <w:b/>
          <w:u w:val="single"/>
        </w:rPr>
        <w:t>article 24 bis</w:t>
      </w:r>
      <w:r w:rsidR="00B61315" w:rsidRPr="00B61315">
        <w:t>, inséré en commission, et qui crée un prélèvement sur les recettes de l’État destiné à contribuer au financement des dépenses des départements relatives à la prise en charge des mineurs isolés étrangers</w:t>
      </w:r>
      <w:r w:rsidR="00075960">
        <w:t>.</w:t>
      </w:r>
    </w:p>
    <w:p w:rsidR="00B61315" w:rsidRDefault="00B61315" w:rsidP="00B61315">
      <w:pPr>
        <w:spacing w:after="0" w:line="240" w:lineRule="auto"/>
        <w:jc w:val="both"/>
        <w:rPr>
          <w:rFonts w:eastAsia="Times New Roman" w:cs="Times New Roman"/>
        </w:rPr>
      </w:pPr>
    </w:p>
    <w:p w:rsidR="00BD7816" w:rsidRPr="00BD7816" w:rsidRDefault="00BD7816" w:rsidP="00BD7816">
      <w:pPr>
        <w:pStyle w:val="Paragraphedeliste"/>
        <w:numPr>
          <w:ilvl w:val="0"/>
          <w:numId w:val="35"/>
        </w:numPr>
        <w:spacing w:after="0" w:line="240" w:lineRule="auto"/>
        <w:jc w:val="both"/>
        <w:rPr>
          <w:rFonts w:eastAsia="Times New Roman" w:cs="Times New Roman"/>
          <w:b/>
          <w:u w:val="single"/>
        </w:rPr>
      </w:pPr>
      <w:r w:rsidRPr="00BD7816">
        <w:rPr>
          <w:rFonts w:eastAsia="Times New Roman" w:cs="Times New Roman"/>
          <w:b/>
          <w:u w:val="single"/>
        </w:rPr>
        <w:t xml:space="preserve">Sur les schémas </w:t>
      </w:r>
      <w:r w:rsidRPr="00BD7816">
        <w:rPr>
          <w:b/>
          <w:u w:val="single"/>
        </w:rPr>
        <w:t>départementaux d’analyse et de couverture des risques</w:t>
      </w:r>
    </w:p>
    <w:p w:rsidR="00BD7816" w:rsidRDefault="00BD7816" w:rsidP="00BD7816">
      <w:pPr>
        <w:spacing w:after="0" w:line="240" w:lineRule="auto"/>
        <w:jc w:val="both"/>
        <w:rPr>
          <w:rFonts w:eastAsia="Times New Roman" w:cs="Times New Roman"/>
        </w:rPr>
      </w:pPr>
    </w:p>
    <w:p w:rsidR="00BD7816" w:rsidRPr="00BD7816" w:rsidRDefault="00BD7816" w:rsidP="00BD7816">
      <w:pPr>
        <w:spacing w:after="0" w:line="240" w:lineRule="auto"/>
        <w:jc w:val="both"/>
        <w:rPr>
          <w:rFonts w:eastAsia="Times New Roman" w:cs="Times New Roman"/>
        </w:rPr>
      </w:pPr>
      <w:r w:rsidRPr="00BD7816">
        <w:rPr>
          <w:b/>
        </w:rPr>
        <w:sym w:font="Wingdings" w:char="F071"/>
      </w:r>
      <w:r w:rsidRPr="00BD7816">
        <w:rPr>
          <w:b/>
        </w:rPr>
        <w:t xml:space="preserve"> </w:t>
      </w:r>
      <w:r w:rsidRPr="00BD7816">
        <w:rPr>
          <w:b/>
          <w:u w:val="single"/>
        </w:rPr>
        <w:t>A l’initiative du Groupe RDSE</w:t>
      </w:r>
      <w:r>
        <w:t xml:space="preserve">, a été adopté un amendement visant à préciser que le schéma départemental d’analyse et de couverture des risques est </w:t>
      </w:r>
      <w:r w:rsidRPr="005F70C5">
        <w:rPr>
          <w:b/>
        </w:rPr>
        <w:t>révisé tous les cinq ans</w:t>
      </w:r>
      <w:r>
        <w:t>, après qu’une évaluation ex post des orientations prises dans le schéma existant ait été réalisée.</w:t>
      </w:r>
    </w:p>
    <w:p w:rsidR="00B61315" w:rsidRPr="00D41A9F" w:rsidRDefault="00C337FD" w:rsidP="00D41A9F">
      <w:pPr>
        <w:pStyle w:val="dmodeles-petite-loiconfectiontexte5chapitrenum"/>
        <w:numPr>
          <w:ilvl w:val="0"/>
          <w:numId w:val="35"/>
        </w:numPr>
        <w:rPr>
          <w:rFonts w:asciiTheme="minorHAnsi" w:hAnsiTheme="minorHAnsi"/>
          <w:b/>
          <w:sz w:val="22"/>
          <w:szCs w:val="22"/>
          <w:u w:val="single"/>
          <w:lang w:eastAsia="en-US" w:bidi="en-US"/>
        </w:rPr>
      </w:pPr>
      <w:r w:rsidRPr="00C337FD">
        <w:rPr>
          <w:rFonts w:asciiTheme="minorHAnsi" w:hAnsiTheme="minorHAnsi"/>
          <w:b/>
          <w:sz w:val="22"/>
          <w:szCs w:val="22"/>
          <w:u w:val="single"/>
          <w:lang w:eastAsia="en-US" w:bidi="en-US"/>
        </w:rPr>
        <w:t>Chapitre II - Amélioration de l’accessibilité des services à la population</w:t>
      </w:r>
      <w:r w:rsidR="00BD7816">
        <w:rPr>
          <w:rFonts w:asciiTheme="minorHAnsi" w:hAnsiTheme="minorHAnsi"/>
          <w:b/>
          <w:sz w:val="22"/>
          <w:szCs w:val="22"/>
          <w:u w:val="single"/>
          <w:lang w:eastAsia="en-US" w:bidi="en-US"/>
        </w:rPr>
        <w:t xml:space="preserve"> (articles 25 et 26)</w:t>
      </w:r>
    </w:p>
    <w:p w:rsidR="00C337FD" w:rsidRDefault="00BD7816" w:rsidP="00C337FD">
      <w:pPr>
        <w:spacing w:after="0"/>
        <w:jc w:val="both"/>
        <w:rPr>
          <w:rFonts w:eastAsia="Times New Roman" w:cs="Times New Roman"/>
        </w:rPr>
      </w:pPr>
      <w:r>
        <w:rPr>
          <w:rFonts w:eastAsia="Times New Roman" w:cs="Times New Roman"/>
        </w:rPr>
        <w:sym w:font="Wingdings" w:char="F071"/>
      </w:r>
      <w:r>
        <w:rPr>
          <w:rFonts w:eastAsia="Times New Roman" w:cs="Times New Roman"/>
        </w:rPr>
        <w:t xml:space="preserve"> </w:t>
      </w:r>
      <w:r w:rsidR="00C520F1">
        <w:rPr>
          <w:rFonts w:eastAsia="Times New Roman" w:cs="Times New Roman"/>
        </w:rPr>
        <w:t>A l’initiative d’</w:t>
      </w:r>
      <w:r w:rsidR="00C520F1" w:rsidRPr="00C520F1">
        <w:rPr>
          <w:rFonts w:eastAsia="Times New Roman" w:cs="Times New Roman"/>
          <w:b/>
          <w:u w:val="single"/>
        </w:rPr>
        <w:t>amendements du RDSE</w:t>
      </w:r>
      <w:r w:rsidR="00C520F1">
        <w:rPr>
          <w:rFonts w:eastAsia="Times New Roman" w:cs="Times New Roman"/>
        </w:rPr>
        <w:t>, l</w:t>
      </w:r>
      <w:r w:rsidR="00C337FD">
        <w:rPr>
          <w:rFonts w:eastAsia="Times New Roman" w:cs="Times New Roman"/>
        </w:rPr>
        <w:t>’</w:t>
      </w:r>
      <w:r w:rsidR="00C337FD" w:rsidRPr="00D41A9F">
        <w:rPr>
          <w:rFonts w:eastAsia="Times New Roman" w:cs="Times New Roman"/>
          <w:b/>
          <w:u w:val="single"/>
        </w:rPr>
        <w:t>article 25</w:t>
      </w:r>
      <w:r w:rsidR="00C337FD">
        <w:rPr>
          <w:rFonts w:eastAsia="Times New Roman" w:cs="Times New Roman"/>
        </w:rPr>
        <w:t xml:space="preserve">, qui </w:t>
      </w:r>
      <w:proofErr w:type="gramStart"/>
      <w:r w:rsidR="00C337FD">
        <w:rPr>
          <w:rFonts w:eastAsia="Times New Roman" w:cs="Times New Roman"/>
        </w:rPr>
        <w:t>créait</w:t>
      </w:r>
      <w:proofErr w:type="gramEnd"/>
      <w:r w:rsidR="00C337FD">
        <w:rPr>
          <w:rFonts w:eastAsia="Times New Roman" w:cs="Times New Roman"/>
        </w:rPr>
        <w:t xml:space="preserve"> un  </w:t>
      </w:r>
      <w:r w:rsidR="00C337FD" w:rsidRPr="00C337FD">
        <w:rPr>
          <w:rFonts w:eastAsia="Times New Roman" w:cs="Times New Roman"/>
        </w:rPr>
        <w:t>schéma d'amélioration de l'accessibilité des services au public sur le territoire départemental,</w:t>
      </w:r>
      <w:r w:rsidR="00C337FD">
        <w:rPr>
          <w:rFonts w:eastAsia="Times New Roman" w:cs="Times New Roman"/>
        </w:rPr>
        <w:t xml:space="preserve"> et l’</w:t>
      </w:r>
      <w:r w:rsidR="00C337FD" w:rsidRPr="00D41A9F">
        <w:rPr>
          <w:rFonts w:eastAsia="Times New Roman" w:cs="Times New Roman"/>
          <w:b/>
          <w:u w:val="single"/>
        </w:rPr>
        <w:t>article 26</w:t>
      </w:r>
      <w:r w:rsidR="00C337FD">
        <w:rPr>
          <w:rFonts w:eastAsia="Times New Roman" w:cs="Times New Roman"/>
        </w:rPr>
        <w:t xml:space="preserve">, qui créait </w:t>
      </w:r>
      <w:r w:rsidR="00C337FD" w:rsidRPr="00C337FD">
        <w:rPr>
          <w:rFonts w:eastAsia="Times New Roman" w:cs="Times New Roman"/>
        </w:rPr>
        <w:t xml:space="preserve">les </w:t>
      </w:r>
      <w:r w:rsidR="00C337FD" w:rsidRPr="00C337FD">
        <w:rPr>
          <w:rFonts w:eastAsia="Times New Roman" w:cs="Times New Roman"/>
        </w:rPr>
        <w:lastRenderedPageBreak/>
        <w:t xml:space="preserve">« maisons de services au public » en remplacement des actuelles « maisons de services publics », </w:t>
      </w:r>
      <w:r w:rsidR="00C337FD">
        <w:rPr>
          <w:rFonts w:eastAsia="Times New Roman" w:cs="Times New Roman"/>
        </w:rPr>
        <w:t>ont été supprimés</w:t>
      </w:r>
      <w:r w:rsidR="00C520F1">
        <w:rPr>
          <w:rFonts w:eastAsia="Times New Roman" w:cs="Times New Roman"/>
        </w:rPr>
        <w:t>.</w:t>
      </w:r>
    </w:p>
    <w:p w:rsidR="00C337FD" w:rsidRDefault="00C337FD" w:rsidP="00C337FD">
      <w:pPr>
        <w:spacing w:after="0"/>
        <w:jc w:val="both"/>
        <w:rPr>
          <w:rFonts w:eastAsia="Times New Roman" w:cs="Times New Roman"/>
        </w:rPr>
      </w:pPr>
    </w:p>
    <w:p w:rsidR="00C520F1" w:rsidRPr="000F168A" w:rsidRDefault="00C520F1" w:rsidP="00C520F1">
      <w:pPr>
        <w:pStyle w:val="Paragraphedeliste"/>
        <w:numPr>
          <w:ilvl w:val="0"/>
          <w:numId w:val="35"/>
        </w:numPr>
        <w:spacing w:after="0"/>
        <w:jc w:val="both"/>
        <w:rPr>
          <w:rFonts w:eastAsia="Times New Roman" w:cs="Times New Roman"/>
          <w:b/>
          <w:u w:val="single"/>
        </w:rPr>
      </w:pPr>
      <w:r w:rsidRPr="000F168A">
        <w:rPr>
          <w:rFonts w:eastAsia="Times New Roman" w:cs="Times New Roman"/>
          <w:b/>
          <w:u w:val="single"/>
        </w:rPr>
        <w:t>Sur la lutte contre la fracture numérique (article 27)</w:t>
      </w:r>
    </w:p>
    <w:p w:rsidR="00C520F1" w:rsidRDefault="00C520F1" w:rsidP="00C520F1">
      <w:pPr>
        <w:spacing w:after="0"/>
        <w:jc w:val="both"/>
        <w:rPr>
          <w:rFonts w:eastAsia="Times New Roman" w:cs="Times New Roman"/>
        </w:rPr>
      </w:pPr>
    </w:p>
    <w:p w:rsidR="00A02303" w:rsidRPr="00A02303" w:rsidRDefault="000F168A" w:rsidP="00A02303">
      <w:pPr>
        <w:spacing w:after="0" w:line="240" w:lineRule="auto"/>
        <w:jc w:val="both"/>
        <w:rPr>
          <w:rFonts w:eastAsia="Times New Roman" w:cs="Times New Roman"/>
        </w:rPr>
      </w:pPr>
      <w:r>
        <w:rPr>
          <w:rFonts w:eastAsia="Times New Roman" w:cs="Times New Roman"/>
        </w:rPr>
        <w:sym w:font="Wingdings" w:char="F071"/>
      </w:r>
      <w:r>
        <w:rPr>
          <w:rFonts w:eastAsia="Times New Roman" w:cs="Times New Roman"/>
        </w:rPr>
        <w:t xml:space="preserve"> </w:t>
      </w:r>
      <w:r w:rsidR="00A02303">
        <w:rPr>
          <w:rFonts w:eastAsia="Times New Roman" w:cs="Times New Roman"/>
        </w:rPr>
        <w:t>L'actuel article L. 1425-1</w:t>
      </w:r>
      <w:r w:rsidR="00A02303" w:rsidRPr="00A02303">
        <w:rPr>
          <w:rFonts w:eastAsia="Times New Roman" w:cs="Times New Roman"/>
        </w:rPr>
        <w:t xml:space="preserve"> CGCT institue une compétence concurrente entre les collectivités territoriales et leurs groupements en matière de télécommunication, posant un problème de cohérence et de lisibilité de l'action publique. Afin de clarifier le droit existant, l'article 27 précise qu'un groupement doit avoir bénéficié d'un transfert de compétence de ses membres pour qu'il puisse l'exercer. </w:t>
      </w:r>
    </w:p>
    <w:p w:rsidR="00C520F1" w:rsidRDefault="00C520F1" w:rsidP="00C520F1">
      <w:pPr>
        <w:spacing w:after="0"/>
        <w:jc w:val="both"/>
        <w:rPr>
          <w:rFonts w:eastAsia="Times New Roman" w:cs="Times New Roman"/>
        </w:rPr>
      </w:pPr>
    </w:p>
    <w:p w:rsidR="00A02303" w:rsidRPr="00A02303" w:rsidRDefault="000F168A" w:rsidP="00C520F1">
      <w:pPr>
        <w:spacing w:after="0"/>
        <w:jc w:val="both"/>
        <w:rPr>
          <w:rFonts w:eastAsia="Times New Roman" w:cs="Times New Roman"/>
          <w:b/>
        </w:rPr>
      </w:pPr>
      <w:r>
        <w:rPr>
          <w:rFonts w:eastAsia="Times New Roman" w:cs="Times New Roman"/>
          <w:b/>
        </w:rPr>
        <w:sym w:font="Wingdings" w:char="F071"/>
      </w:r>
      <w:r>
        <w:rPr>
          <w:rFonts w:eastAsia="Times New Roman" w:cs="Times New Roman"/>
          <w:b/>
        </w:rPr>
        <w:t xml:space="preserve"> </w:t>
      </w:r>
      <w:r w:rsidR="00A02303" w:rsidRPr="00A02303">
        <w:rPr>
          <w:rFonts w:eastAsia="Times New Roman" w:cs="Times New Roman"/>
          <w:b/>
        </w:rPr>
        <w:t xml:space="preserve">A l’initiative d’un amendement RDSE, le Sénat a adopté un article additionnel </w:t>
      </w:r>
      <w:r w:rsidR="00A02303" w:rsidRPr="00A02303">
        <w:rPr>
          <w:b/>
        </w:rPr>
        <w:t>tendant à mettre en œuvre une obligation de couverture des zones dites « grises » et « blanches » de téléphonie mobile, en recourant à la prestation d'itinérance locale ou à la mutualisation des infrastructures.</w:t>
      </w:r>
    </w:p>
    <w:p w:rsidR="00A02303" w:rsidRDefault="00A02303" w:rsidP="00C520F1">
      <w:pPr>
        <w:spacing w:after="0"/>
        <w:jc w:val="both"/>
        <w:rPr>
          <w:rFonts w:eastAsia="Times New Roman" w:cs="Times New Roman"/>
        </w:rPr>
      </w:pPr>
    </w:p>
    <w:p w:rsidR="000F168A" w:rsidRPr="00C61F65" w:rsidRDefault="000F168A" w:rsidP="00C61F65">
      <w:pPr>
        <w:pStyle w:val="Paragraphedeliste"/>
        <w:numPr>
          <w:ilvl w:val="0"/>
          <w:numId w:val="35"/>
        </w:numPr>
        <w:spacing w:after="0" w:line="240" w:lineRule="auto"/>
        <w:jc w:val="both"/>
        <w:rPr>
          <w:rFonts w:eastAsia="Times New Roman" w:cs="Times New Roman"/>
          <w:b/>
          <w:u w:val="single"/>
        </w:rPr>
      </w:pPr>
      <w:r w:rsidRPr="00C61F65">
        <w:rPr>
          <w:rFonts w:eastAsia="Times New Roman" w:cs="Times New Roman"/>
          <w:b/>
          <w:u w:val="single"/>
        </w:rPr>
        <w:t>Sur les compétences partagées en matière de culture, de sport et de tourisme (</w:t>
      </w:r>
      <w:r w:rsidR="00C61F65" w:rsidRPr="00C61F65">
        <w:rPr>
          <w:rFonts w:eastAsia="Times New Roman" w:cs="Times New Roman"/>
          <w:b/>
          <w:u w:val="single"/>
        </w:rPr>
        <w:t xml:space="preserve">Chapitre IV - </w:t>
      </w:r>
      <w:r w:rsidRPr="00C61F65">
        <w:rPr>
          <w:rFonts w:eastAsia="Times New Roman" w:cs="Times New Roman"/>
          <w:b/>
          <w:u w:val="single"/>
        </w:rPr>
        <w:t>article 28)</w:t>
      </w:r>
    </w:p>
    <w:p w:rsidR="00C520F1" w:rsidRDefault="00C520F1" w:rsidP="00C337FD">
      <w:pPr>
        <w:spacing w:after="0"/>
        <w:jc w:val="both"/>
        <w:rPr>
          <w:rFonts w:eastAsia="Times New Roman" w:cs="Times New Roman"/>
        </w:rPr>
      </w:pPr>
    </w:p>
    <w:p w:rsidR="00C337FD" w:rsidRDefault="00C337FD" w:rsidP="00C337FD">
      <w:pPr>
        <w:spacing w:after="0"/>
        <w:jc w:val="both"/>
      </w:pPr>
      <w:r w:rsidRPr="00C337FD">
        <w:rPr>
          <w:rFonts w:eastAsia="Times New Roman" w:cs="Times New Roman"/>
        </w:rPr>
        <w:t>Le Sénat a adopté, sans modification</w:t>
      </w:r>
      <w:r>
        <w:t>, l’</w:t>
      </w:r>
      <w:r>
        <w:rPr>
          <w:u w:val="single"/>
        </w:rPr>
        <w:t>article 28</w:t>
      </w:r>
      <w:r>
        <w:t xml:space="preserve"> visant à maintenir une possibilité d'intervention de chaque niveau de collectivité territoriale en matière de culture, de sport et de tourisme</w:t>
      </w:r>
      <w:r w:rsidR="00941FC9">
        <w:t>.</w:t>
      </w:r>
    </w:p>
    <w:p w:rsidR="00941FC9" w:rsidRDefault="00941FC9" w:rsidP="00C337FD">
      <w:pPr>
        <w:spacing w:after="0"/>
        <w:jc w:val="both"/>
      </w:pPr>
    </w:p>
    <w:p w:rsidR="00941FC9" w:rsidRPr="0003585A" w:rsidRDefault="0003585A" w:rsidP="0003585A">
      <w:pPr>
        <w:pStyle w:val="Paragraphedeliste"/>
        <w:numPr>
          <w:ilvl w:val="0"/>
          <w:numId w:val="35"/>
        </w:numPr>
        <w:spacing w:after="0" w:line="240" w:lineRule="auto"/>
        <w:jc w:val="both"/>
        <w:rPr>
          <w:b/>
          <w:u w:val="single"/>
        </w:rPr>
      </w:pPr>
      <w:r w:rsidRPr="0003585A">
        <w:rPr>
          <w:b/>
          <w:u w:val="single"/>
        </w:rPr>
        <w:t>Sur la taxe relative à la gestion des milieux aquatiques et de prévention des inondations</w:t>
      </w:r>
    </w:p>
    <w:p w:rsidR="0003585A" w:rsidRDefault="0003585A" w:rsidP="0003585A">
      <w:pPr>
        <w:spacing w:after="0" w:line="240" w:lineRule="auto"/>
        <w:jc w:val="both"/>
      </w:pPr>
    </w:p>
    <w:p w:rsidR="00BF1EA6" w:rsidRPr="00BF1EA6" w:rsidRDefault="00F04D37" w:rsidP="00BF1EA6">
      <w:pPr>
        <w:pStyle w:val="NormalWeb"/>
        <w:spacing w:before="0" w:beforeAutospacing="0" w:after="0" w:afterAutospacing="0"/>
        <w:jc w:val="both"/>
        <w:rPr>
          <w:rFonts w:asciiTheme="minorHAnsi" w:hAnsiTheme="minorHAnsi"/>
          <w:sz w:val="22"/>
          <w:szCs w:val="22"/>
        </w:rPr>
      </w:pPr>
      <w:r>
        <w:rPr>
          <w:rFonts w:asciiTheme="minorHAnsi" w:hAnsiTheme="minorHAnsi"/>
          <w:sz w:val="22"/>
          <w:szCs w:val="22"/>
        </w:rPr>
        <w:sym w:font="Wingdings" w:char="F071"/>
      </w:r>
      <w:r>
        <w:rPr>
          <w:rFonts w:asciiTheme="minorHAnsi" w:hAnsiTheme="minorHAnsi"/>
          <w:sz w:val="22"/>
          <w:szCs w:val="22"/>
        </w:rPr>
        <w:t xml:space="preserve"> </w:t>
      </w:r>
      <w:r w:rsidR="00BF1EA6" w:rsidRPr="00BF1EA6">
        <w:rPr>
          <w:rFonts w:asciiTheme="minorHAnsi" w:hAnsiTheme="minorHAnsi"/>
          <w:sz w:val="22"/>
          <w:szCs w:val="22"/>
        </w:rPr>
        <w:t xml:space="preserve">A été adopté un amendement de </w:t>
      </w:r>
      <w:r w:rsidR="00BF1EA6" w:rsidRPr="00D41A9F">
        <w:rPr>
          <w:rFonts w:asciiTheme="minorHAnsi" w:hAnsiTheme="minorHAnsi"/>
          <w:b/>
          <w:sz w:val="22"/>
          <w:szCs w:val="22"/>
          <w:u w:val="single"/>
        </w:rPr>
        <w:t>Pierre-Yves COLLOMBAT</w:t>
      </w:r>
      <w:r w:rsidR="00BF1EA6" w:rsidRPr="00BF1EA6">
        <w:rPr>
          <w:rFonts w:asciiTheme="minorHAnsi" w:hAnsiTheme="minorHAnsi"/>
          <w:sz w:val="22"/>
          <w:szCs w:val="22"/>
        </w:rPr>
        <w:t xml:space="preserve"> ayant pour objet :</w:t>
      </w:r>
    </w:p>
    <w:p w:rsidR="00BF1EA6" w:rsidRPr="00BF1EA6" w:rsidRDefault="00BF1EA6" w:rsidP="00BF1EA6">
      <w:pPr>
        <w:pStyle w:val="NormalWeb"/>
        <w:numPr>
          <w:ilvl w:val="0"/>
          <w:numId w:val="36"/>
        </w:numPr>
        <w:spacing w:before="0" w:beforeAutospacing="0" w:after="0" w:afterAutospacing="0"/>
        <w:jc w:val="both"/>
        <w:rPr>
          <w:rFonts w:asciiTheme="minorHAnsi" w:hAnsiTheme="minorHAnsi"/>
          <w:sz w:val="22"/>
          <w:szCs w:val="22"/>
        </w:rPr>
      </w:pPr>
      <w:r w:rsidRPr="00BF1EA6">
        <w:rPr>
          <w:rFonts w:asciiTheme="minorHAnsi" w:hAnsiTheme="minorHAnsi"/>
          <w:sz w:val="22"/>
          <w:szCs w:val="22"/>
        </w:rPr>
        <w:t>d’une part, de lever une ambiguïté résultant de la lecture combinée des articles L. 211-7-2 du code de l’environnement autorisant le financement des actions en matière de gestion des milieux aquatiques par une taxe pour la gestion des milieux aquatiques et l’article 1530 bis du code général des impôts qui précise cette taxe.</w:t>
      </w:r>
    </w:p>
    <w:p w:rsidR="00BF1EA6" w:rsidRDefault="00BF1EA6" w:rsidP="00BF1EA6">
      <w:pPr>
        <w:pStyle w:val="NormalWeb"/>
        <w:numPr>
          <w:ilvl w:val="0"/>
          <w:numId w:val="36"/>
        </w:numPr>
        <w:spacing w:before="0" w:beforeAutospacing="0" w:after="0" w:afterAutospacing="0"/>
        <w:jc w:val="both"/>
      </w:pPr>
      <w:r w:rsidRPr="00BF1EA6">
        <w:rPr>
          <w:rFonts w:asciiTheme="minorHAnsi" w:hAnsiTheme="minorHAnsi"/>
          <w:sz w:val="22"/>
          <w:szCs w:val="22"/>
        </w:rPr>
        <w:t>d’autre part, de repousser du 1er janvier 2016 au 1er janvier 2018 la date de la prise de la compétence de gestion des milieux aquatiques par le bloc communal.</w:t>
      </w:r>
    </w:p>
    <w:p w:rsidR="00BF1EA6" w:rsidRDefault="00BF1EA6" w:rsidP="00C337FD">
      <w:pPr>
        <w:spacing w:after="0"/>
        <w:jc w:val="both"/>
      </w:pPr>
    </w:p>
    <w:p w:rsidR="00D444FC" w:rsidRDefault="00D444FC" w:rsidP="00C337FD">
      <w:pPr>
        <w:spacing w:after="0"/>
        <w:jc w:val="both"/>
      </w:pPr>
    </w:p>
    <w:p w:rsidR="00D444FC" w:rsidRPr="00F6352E" w:rsidRDefault="00D444FC" w:rsidP="00D444FC">
      <w:pPr>
        <w:pStyle w:val="Paragraphedeliste"/>
        <w:numPr>
          <w:ilvl w:val="0"/>
          <w:numId w:val="35"/>
        </w:numPr>
        <w:spacing w:after="0"/>
        <w:jc w:val="both"/>
        <w:rPr>
          <w:b/>
          <w:u w:val="single"/>
        </w:rPr>
      </w:pPr>
      <w:r w:rsidRPr="00F6352E">
        <w:rPr>
          <w:b/>
          <w:u w:val="single"/>
        </w:rPr>
        <w:t>Sur la présence des sénateurs</w:t>
      </w:r>
      <w:r w:rsidR="00F6352E" w:rsidRPr="00F6352E">
        <w:rPr>
          <w:b/>
          <w:u w:val="single"/>
        </w:rPr>
        <w:t xml:space="preserve"> à la CTAP</w:t>
      </w:r>
      <w:r w:rsidR="00F6352E">
        <w:rPr>
          <w:b/>
          <w:u w:val="single"/>
        </w:rPr>
        <w:t xml:space="preserve"> (article 28 bis)</w:t>
      </w:r>
    </w:p>
    <w:p w:rsidR="00F6352E" w:rsidRDefault="00F04D37" w:rsidP="00F6352E">
      <w:pPr>
        <w:spacing w:after="0"/>
        <w:jc w:val="both"/>
      </w:pPr>
      <w:r>
        <w:sym w:font="Wingdings" w:char="F071"/>
      </w:r>
      <w:r>
        <w:t xml:space="preserve"> </w:t>
      </w:r>
      <w:r w:rsidR="00F6352E">
        <w:t xml:space="preserve">A été adopté un </w:t>
      </w:r>
      <w:r w:rsidR="00F6352E" w:rsidRPr="00F6352E">
        <w:rPr>
          <w:b/>
          <w:u w:val="single"/>
        </w:rPr>
        <w:t>amendement RDSE</w:t>
      </w:r>
      <w:r w:rsidR="00F6352E">
        <w:t xml:space="preserve"> visant à ce que les sénateurs fassent partie intégrante de la CTAP, afin de pouvoir continuer à exercer leurs missions définies à l’article 24 de la Constitution.</w:t>
      </w:r>
    </w:p>
    <w:p w:rsidR="003B36D6" w:rsidRDefault="003B36D6" w:rsidP="00F6352E">
      <w:pPr>
        <w:spacing w:after="0"/>
        <w:jc w:val="both"/>
        <w:rPr>
          <w:rFonts w:eastAsiaTheme="minorHAnsi"/>
          <w:b/>
          <w:u w:val="single"/>
          <w:lang w:eastAsia="en-US" w:bidi="en-US"/>
        </w:rPr>
      </w:pPr>
    </w:p>
    <w:p w:rsidR="005F70C5" w:rsidRDefault="005F70C5" w:rsidP="00F6352E">
      <w:pPr>
        <w:spacing w:after="0"/>
        <w:jc w:val="both"/>
        <w:rPr>
          <w:rFonts w:eastAsiaTheme="minorHAnsi"/>
          <w:b/>
          <w:u w:val="single"/>
          <w:lang w:eastAsia="en-US" w:bidi="en-US"/>
        </w:rPr>
      </w:pPr>
    </w:p>
    <w:p w:rsidR="005F70C5" w:rsidRDefault="005F70C5" w:rsidP="00F6352E">
      <w:pPr>
        <w:spacing w:after="0"/>
        <w:jc w:val="both"/>
        <w:rPr>
          <w:rFonts w:eastAsiaTheme="minorHAnsi"/>
          <w:b/>
          <w:u w:val="single"/>
          <w:lang w:eastAsia="en-US" w:bidi="en-US"/>
        </w:rPr>
      </w:pPr>
    </w:p>
    <w:p w:rsidR="005F70C5" w:rsidRDefault="005F70C5" w:rsidP="00F6352E">
      <w:pPr>
        <w:spacing w:after="0"/>
        <w:jc w:val="both"/>
        <w:rPr>
          <w:rFonts w:eastAsiaTheme="minorHAnsi"/>
          <w:b/>
          <w:u w:val="single"/>
          <w:lang w:eastAsia="en-US" w:bidi="en-US"/>
        </w:rPr>
      </w:pPr>
    </w:p>
    <w:p w:rsidR="005F70C5" w:rsidRDefault="005F70C5" w:rsidP="00F6352E">
      <w:pPr>
        <w:spacing w:after="0"/>
        <w:jc w:val="both"/>
        <w:rPr>
          <w:rFonts w:eastAsiaTheme="minorHAnsi"/>
          <w:b/>
          <w:u w:val="single"/>
          <w:lang w:eastAsia="en-US" w:bidi="en-US"/>
        </w:rPr>
      </w:pPr>
    </w:p>
    <w:p w:rsidR="005F70C5" w:rsidRDefault="005F70C5" w:rsidP="00F6352E">
      <w:pPr>
        <w:spacing w:after="0"/>
        <w:jc w:val="both"/>
        <w:rPr>
          <w:rFonts w:eastAsiaTheme="minorHAnsi"/>
          <w:b/>
          <w:u w:val="single"/>
          <w:lang w:eastAsia="en-US" w:bidi="en-US"/>
        </w:rPr>
      </w:pPr>
    </w:p>
    <w:p w:rsidR="005F70C5" w:rsidRDefault="005F70C5" w:rsidP="00F6352E">
      <w:pPr>
        <w:spacing w:after="0"/>
        <w:jc w:val="both"/>
        <w:rPr>
          <w:rFonts w:eastAsiaTheme="minorHAnsi"/>
          <w:b/>
          <w:u w:val="single"/>
          <w:lang w:eastAsia="en-US" w:bidi="en-US"/>
        </w:rPr>
      </w:pPr>
    </w:p>
    <w:p w:rsidR="005F70C5" w:rsidRPr="003B36D6" w:rsidRDefault="005F70C5" w:rsidP="00F6352E">
      <w:pPr>
        <w:spacing w:after="0"/>
        <w:jc w:val="both"/>
        <w:rPr>
          <w:rFonts w:eastAsiaTheme="minorHAnsi"/>
          <w:b/>
          <w:u w:val="single"/>
          <w:lang w:eastAsia="en-US" w:bidi="en-US"/>
        </w:rPr>
      </w:pPr>
    </w:p>
    <w:p w:rsidR="003B36D6" w:rsidRPr="00266E4E" w:rsidRDefault="005F70C5" w:rsidP="005F70C5">
      <w:pPr>
        <w:pStyle w:val="dmodeles-petite-loiconfectiontexte4titrenum"/>
        <w:numPr>
          <w:ilvl w:val="0"/>
          <w:numId w:val="12"/>
        </w:numPr>
        <w:jc w:val="both"/>
        <w:rPr>
          <w:rFonts w:asciiTheme="minorHAnsi" w:eastAsiaTheme="minorHAnsi" w:hAnsiTheme="minorHAnsi" w:cstheme="minorBidi"/>
          <w:b/>
          <w:sz w:val="22"/>
          <w:szCs w:val="22"/>
          <w:u w:val="single"/>
          <w:lang w:eastAsia="en-US" w:bidi="en-US"/>
        </w:rPr>
      </w:pPr>
      <w:r w:rsidRPr="003B36D6">
        <w:rPr>
          <w:rFonts w:asciiTheme="minorHAnsi" w:eastAsiaTheme="minorHAnsi" w:hAnsiTheme="minorHAnsi" w:cstheme="minorBidi"/>
          <w:b/>
          <w:sz w:val="22"/>
          <w:szCs w:val="22"/>
          <w:u w:val="single"/>
          <w:lang w:eastAsia="en-US" w:bidi="en-US"/>
        </w:rPr>
        <w:lastRenderedPageBreak/>
        <w:t>TITRE IV - TRANSPARENCE ET RESPONSABILITE FINANCIERES DES COLLECTIVITES TERRITORIALES</w:t>
      </w:r>
    </w:p>
    <w:p w:rsidR="00266E4E" w:rsidRPr="00280AEB" w:rsidRDefault="00266E4E" w:rsidP="00266E4E">
      <w:pPr>
        <w:pStyle w:val="Paragraphedeliste"/>
        <w:numPr>
          <w:ilvl w:val="0"/>
          <w:numId w:val="37"/>
        </w:numPr>
        <w:spacing w:after="0" w:line="240" w:lineRule="auto"/>
        <w:jc w:val="both"/>
        <w:rPr>
          <w:rFonts w:eastAsiaTheme="minorEastAsia"/>
          <w:b/>
          <w:u w:val="single"/>
          <w:lang w:eastAsia="fr-FR" w:bidi="ar-SA"/>
        </w:rPr>
      </w:pPr>
      <w:r w:rsidRPr="00280AEB">
        <w:rPr>
          <w:rFonts w:eastAsiaTheme="minorEastAsia"/>
          <w:b/>
          <w:u w:val="single"/>
          <w:lang w:eastAsia="fr-FR" w:bidi="ar-SA"/>
        </w:rPr>
        <w:t xml:space="preserve">Les dispositions relatives à la transparence financière des collectivités territoriales et de leurs groupements (chapitre I) </w:t>
      </w:r>
    </w:p>
    <w:p w:rsidR="00266E4E" w:rsidRPr="00266E4E" w:rsidRDefault="00266E4E" w:rsidP="00266E4E">
      <w:pPr>
        <w:spacing w:after="0" w:line="240" w:lineRule="auto"/>
        <w:jc w:val="both"/>
      </w:pPr>
    </w:p>
    <w:p w:rsidR="00266E4E" w:rsidRPr="00266E4E" w:rsidRDefault="00266E4E" w:rsidP="00266E4E">
      <w:pPr>
        <w:spacing w:after="0" w:line="240" w:lineRule="auto"/>
        <w:jc w:val="both"/>
        <w:rPr>
          <w:b/>
          <w:u w:val="single"/>
        </w:rPr>
      </w:pPr>
      <w:r w:rsidRPr="00266E4E">
        <w:rPr>
          <w:b/>
          <w:u w:val="single"/>
        </w:rPr>
        <w:t>Le Sénat a adopté les articles 30 à 32 :</w:t>
      </w:r>
    </w:p>
    <w:p w:rsidR="00266E4E" w:rsidRPr="00266E4E" w:rsidRDefault="00266E4E" w:rsidP="00266E4E">
      <w:pPr>
        <w:spacing w:after="0" w:line="240" w:lineRule="auto"/>
        <w:jc w:val="both"/>
      </w:pPr>
      <w:r>
        <w:sym w:font="Wingdings" w:char="F071"/>
      </w:r>
      <w:r>
        <w:t xml:space="preserve"> </w:t>
      </w:r>
      <w:r w:rsidRPr="00266E4E">
        <w:t>L'</w:t>
      </w:r>
      <w:r w:rsidRPr="00266E4E">
        <w:rPr>
          <w:b/>
          <w:u w:val="single"/>
        </w:rPr>
        <w:t xml:space="preserve">article 30 </w:t>
      </w:r>
      <w:r w:rsidRPr="00266E4E">
        <w:t>prévoit que, dans un délai d'un an après la présentation du rapport d'observations définitives à l'assemblée délibérante, l'exécutif rende compte devant cette même assemblée des actions qu'il a entreprises pour donner suite aux observations de la chambre régionale des comptes.</w:t>
      </w:r>
    </w:p>
    <w:p w:rsidR="00266E4E" w:rsidRPr="00266E4E" w:rsidRDefault="00266E4E" w:rsidP="00266E4E">
      <w:pPr>
        <w:spacing w:after="0" w:line="240" w:lineRule="auto"/>
        <w:jc w:val="both"/>
      </w:pPr>
    </w:p>
    <w:p w:rsidR="00266E4E" w:rsidRPr="00266E4E" w:rsidRDefault="00266E4E" w:rsidP="00266E4E">
      <w:pPr>
        <w:spacing w:after="0" w:line="240" w:lineRule="auto"/>
        <w:jc w:val="both"/>
      </w:pPr>
      <w:r>
        <w:sym w:font="Wingdings" w:char="F071"/>
      </w:r>
      <w:r>
        <w:t xml:space="preserve"> </w:t>
      </w:r>
      <w:r w:rsidRPr="00266E4E">
        <w:t>L'</w:t>
      </w:r>
      <w:r w:rsidRPr="00266E4E">
        <w:rPr>
          <w:b/>
          <w:u w:val="single"/>
        </w:rPr>
        <w:t xml:space="preserve">article 31 </w:t>
      </w:r>
      <w:r w:rsidRPr="00266E4E">
        <w:t>crée un rapport de la Cour des comptes au Parlement sur la situation financière et la gestion des collectivités territoriales et sa présentation par le premier président de la Cour des comptes, devant le Comité des finances locales, après sa transmission au Parlement.</w:t>
      </w:r>
    </w:p>
    <w:p w:rsidR="00266E4E" w:rsidRPr="00266E4E" w:rsidRDefault="00266E4E" w:rsidP="00266E4E">
      <w:pPr>
        <w:spacing w:after="0" w:line="240" w:lineRule="auto"/>
        <w:jc w:val="both"/>
      </w:pPr>
    </w:p>
    <w:p w:rsidR="00266E4E" w:rsidRPr="00266E4E" w:rsidRDefault="00266E4E" w:rsidP="00266E4E">
      <w:pPr>
        <w:spacing w:after="0" w:line="240" w:lineRule="auto"/>
        <w:jc w:val="both"/>
      </w:pPr>
      <w:r>
        <w:sym w:font="Wingdings" w:char="F071"/>
      </w:r>
      <w:r>
        <w:t xml:space="preserve"> </w:t>
      </w:r>
      <w:r w:rsidRPr="00266E4E">
        <w:t>L'</w:t>
      </w:r>
      <w:r w:rsidRPr="00266E4E">
        <w:rPr>
          <w:b/>
          <w:u w:val="single"/>
        </w:rPr>
        <w:t xml:space="preserve">article 32 </w:t>
      </w:r>
      <w:r w:rsidRPr="00266E4E">
        <w:t xml:space="preserve">prévoit que la Cour des comptes coordonne, pour une durée de 5 ans, une expérimentation de dispositifs destinés à assurer la régularité, la sincérité et la fidélité des comptes des collectivités locales sur la base du volontariat. Elle concerne les collectivités dont les produits de fonctionnement excèdent le seuil de 200 millions d'euros. </w:t>
      </w:r>
    </w:p>
    <w:p w:rsidR="00266E4E" w:rsidRDefault="00266E4E" w:rsidP="00266E4E">
      <w:pPr>
        <w:spacing w:after="0" w:line="240" w:lineRule="auto"/>
        <w:jc w:val="both"/>
        <w:rPr>
          <w:b/>
          <w:u w:val="single"/>
        </w:rPr>
      </w:pPr>
    </w:p>
    <w:p w:rsidR="00266E4E" w:rsidRPr="00266E4E" w:rsidRDefault="00266E4E" w:rsidP="00266E4E">
      <w:pPr>
        <w:spacing w:after="0" w:line="240" w:lineRule="auto"/>
        <w:jc w:val="both"/>
        <w:rPr>
          <w:b/>
          <w:u w:val="single"/>
        </w:rPr>
      </w:pPr>
    </w:p>
    <w:p w:rsidR="00C520F1" w:rsidRPr="00C520F1" w:rsidRDefault="00C520F1" w:rsidP="003B36D6">
      <w:pPr>
        <w:pStyle w:val="Paragraphedeliste"/>
        <w:numPr>
          <w:ilvl w:val="0"/>
          <w:numId w:val="37"/>
        </w:numPr>
        <w:spacing w:after="0" w:line="240" w:lineRule="auto"/>
        <w:jc w:val="both"/>
        <w:rPr>
          <w:b/>
          <w:u w:val="single"/>
        </w:rPr>
      </w:pPr>
      <w:r w:rsidRPr="00C520F1">
        <w:rPr>
          <w:b/>
          <w:u w:val="single"/>
        </w:rPr>
        <w:t>Sur la possibilité pour l’Etat d’engager des actions récursoires contre les collectivités territoriales en cas de condamnation par la Cour de justice de l’Union européenne</w:t>
      </w:r>
      <w:r>
        <w:rPr>
          <w:b/>
          <w:u w:val="single"/>
        </w:rPr>
        <w:t xml:space="preserve"> (article 33)</w:t>
      </w:r>
    </w:p>
    <w:p w:rsidR="00941FC9" w:rsidRPr="00266E4E" w:rsidRDefault="00F04D37" w:rsidP="00266E4E">
      <w:pPr>
        <w:spacing w:before="100" w:beforeAutospacing="1" w:after="100" w:afterAutospacing="1" w:line="240" w:lineRule="auto"/>
      </w:pPr>
      <w:r>
        <w:sym w:font="Wingdings" w:char="F071"/>
      </w:r>
      <w:r>
        <w:t xml:space="preserve"> </w:t>
      </w:r>
      <w:r w:rsidR="00C520F1" w:rsidRPr="00C520F1">
        <w:t xml:space="preserve">Le Sénat a </w:t>
      </w:r>
      <w:r w:rsidR="00941FC9" w:rsidRPr="00941FC9">
        <w:t>maintenu la suppression</w:t>
      </w:r>
      <w:r w:rsidR="00C520F1" w:rsidRPr="00C520F1">
        <w:t xml:space="preserve"> </w:t>
      </w:r>
      <w:r w:rsidR="00941FC9" w:rsidRPr="00941FC9">
        <w:t xml:space="preserve">de </w:t>
      </w:r>
      <w:r w:rsidR="00C520F1" w:rsidRPr="00C520F1">
        <w:t xml:space="preserve">cet </w:t>
      </w:r>
      <w:r w:rsidR="00941FC9" w:rsidRPr="00941FC9">
        <w:t>articl</w:t>
      </w:r>
      <w:r w:rsidR="00C520F1">
        <w:t>e</w:t>
      </w:r>
      <w:r w:rsidR="00C520F1" w:rsidRPr="00C520F1">
        <w:t>.</w:t>
      </w:r>
    </w:p>
    <w:p w:rsidR="00C61F65" w:rsidRPr="00C337FD" w:rsidRDefault="00C61F65" w:rsidP="00C337FD">
      <w:pPr>
        <w:spacing w:after="0"/>
        <w:jc w:val="both"/>
        <w:rPr>
          <w:rFonts w:eastAsia="Times New Roman" w:cs="Times New Roman"/>
        </w:rPr>
      </w:pPr>
    </w:p>
    <w:sectPr w:rsidR="00C61F65" w:rsidRPr="00C337FD" w:rsidSect="00C86F6D">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72D5" w:rsidRDefault="003972D5" w:rsidP="00AF164B">
      <w:pPr>
        <w:spacing w:after="0" w:line="240" w:lineRule="auto"/>
      </w:pPr>
      <w:r>
        <w:separator/>
      </w:r>
    </w:p>
  </w:endnote>
  <w:endnote w:type="continuationSeparator" w:id="0">
    <w:p w:rsidR="003972D5" w:rsidRDefault="003972D5" w:rsidP="00AF16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sz w:val="22"/>
      </w:rPr>
      <w:id w:val="10433614"/>
      <w:docPartObj>
        <w:docPartGallery w:val="Page Numbers (Bottom of Page)"/>
        <w:docPartUnique/>
      </w:docPartObj>
    </w:sdtPr>
    <w:sdtEndPr/>
    <w:sdtContent>
      <w:p w:rsidR="00A02303" w:rsidRPr="00AC7071" w:rsidRDefault="00A02303">
        <w:pPr>
          <w:pStyle w:val="Pieddepage"/>
          <w:jc w:val="right"/>
          <w:rPr>
            <w:rFonts w:asciiTheme="minorHAnsi" w:hAnsiTheme="minorHAnsi"/>
            <w:sz w:val="22"/>
          </w:rPr>
        </w:pPr>
        <w:r w:rsidRPr="00AC7071">
          <w:rPr>
            <w:rFonts w:asciiTheme="minorHAnsi" w:hAnsiTheme="minorHAnsi"/>
            <w:sz w:val="22"/>
          </w:rPr>
          <w:fldChar w:fldCharType="begin"/>
        </w:r>
        <w:r w:rsidRPr="00AC7071">
          <w:rPr>
            <w:rFonts w:asciiTheme="minorHAnsi" w:hAnsiTheme="minorHAnsi"/>
            <w:sz w:val="22"/>
          </w:rPr>
          <w:instrText xml:space="preserve"> PAGE   \* MERGEFORMAT </w:instrText>
        </w:r>
        <w:r w:rsidRPr="00AC7071">
          <w:rPr>
            <w:rFonts w:asciiTheme="minorHAnsi" w:hAnsiTheme="minorHAnsi"/>
            <w:sz w:val="22"/>
          </w:rPr>
          <w:fldChar w:fldCharType="separate"/>
        </w:r>
        <w:r w:rsidR="00A74233">
          <w:rPr>
            <w:rFonts w:asciiTheme="minorHAnsi" w:hAnsiTheme="minorHAnsi"/>
            <w:noProof/>
            <w:sz w:val="22"/>
          </w:rPr>
          <w:t>1</w:t>
        </w:r>
        <w:r w:rsidRPr="00AC7071">
          <w:rPr>
            <w:rFonts w:asciiTheme="minorHAnsi" w:hAnsiTheme="minorHAnsi"/>
            <w:sz w:val="22"/>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72D5" w:rsidRDefault="003972D5" w:rsidP="00AF164B">
      <w:pPr>
        <w:spacing w:after="0" w:line="240" w:lineRule="auto"/>
      </w:pPr>
      <w:r>
        <w:separator/>
      </w:r>
    </w:p>
  </w:footnote>
  <w:footnote w:type="continuationSeparator" w:id="0">
    <w:p w:rsidR="003972D5" w:rsidRDefault="003972D5" w:rsidP="00AF164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30A99"/>
    <w:multiLevelType w:val="hybridMultilevel"/>
    <w:tmpl w:val="83D02A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4F26BF5"/>
    <w:multiLevelType w:val="hybridMultilevel"/>
    <w:tmpl w:val="6ADCF0C6"/>
    <w:lvl w:ilvl="0" w:tplc="040C0011">
      <w:start w:val="1"/>
      <w:numFmt w:val="decimal"/>
      <w:lvlText w:val="%1)"/>
      <w:lvlJc w:val="left"/>
      <w:pPr>
        <w:ind w:left="1495" w:hanging="360"/>
      </w:pPr>
      <w:rPr>
        <w:rFonts w:hint="default"/>
      </w:rPr>
    </w:lvl>
    <w:lvl w:ilvl="1" w:tplc="040C0019" w:tentative="1">
      <w:start w:val="1"/>
      <w:numFmt w:val="lowerLetter"/>
      <w:lvlText w:val="%2."/>
      <w:lvlJc w:val="left"/>
      <w:pPr>
        <w:ind w:left="2215" w:hanging="360"/>
      </w:pPr>
    </w:lvl>
    <w:lvl w:ilvl="2" w:tplc="040C001B" w:tentative="1">
      <w:start w:val="1"/>
      <w:numFmt w:val="lowerRoman"/>
      <w:lvlText w:val="%3."/>
      <w:lvlJc w:val="right"/>
      <w:pPr>
        <w:ind w:left="2935" w:hanging="180"/>
      </w:pPr>
    </w:lvl>
    <w:lvl w:ilvl="3" w:tplc="040C000F" w:tentative="1">
      <w:start w:val="1"/>
      <w:numFmt w:val="decimal"/>
      <w:lvlText w:val="%4."/>
      <w:lvlJc w:val="left"/>
      <w:pPr>
        <w:ind w:left="3655" w:hanging="360"/>
      </w:pPr>
    </w:lvl>
    <w:lvl w:ilvl="4" w:tplc="040C0019" w:tentative="1">
      <w:start w:val="1"/>
      <w:numFmt w:val="lowerLetter"/>
      <w:lvlText w:val="%5."/>
      <w:lvlJc w:val="left"/>
      <w:pPr>
        <w:ind w:left="4375" w:hanging="360"/>
      </w:pPr>
    </w:lvl>
    <w:lvl w:ilvl="5" w:tplc="040C001B" w:tentative="1">
      <w:start w:val="1"/>
      <w:numFmt w:val="lowerRoman"/>
      <w:lvlText w:val="%6."/>
      <w:lvlJc w:val="right"/>
      <w:pPr>
        <w:ind w:left="5095" w:hanging="180"/>
      </w:pPr>
    </w:lvl>
    <w:lvl w:ilvl="6" w:tplc="040C000F" w:tentative="1">
      <w:start w:val="1"/>
      <w:numFmt w:val="decimal"/>
      <w:lvlText w:val="%7."/>
      <w:lvlJc w:val="left"/>
      <w:pPr>
        <w:ind w:left="5815" w:hanging="360"/>
      </w:pPr>
    </w:lvl>
    <w:lvl w:ilvl="7" w:tplc="040C0019" w:tentative="1">
      <w:start w:val="1"/>
      <w:numFmt w:val="lowerLetter"/>
      <w:lvlText w:val="%8."/>
      <w:lvlJc w:val="left"/>
      <w:pPr>
        <w:ind w:left="6535" w:hanging="360"/>
      </w:pPr>
    </w:lvl>
    <w:lvl w:ilvl="8" w:tplc="040C001B" w:tentative="1">
      <w:start w:val="1"/>
      <w:numFmt w:val="lowerRoman"/>
      <w:lvlText w:val="%9."/>
      <w:lvlJc w:val="right"/>
      <w:pPr>
        <w:ind w:left="7255" w:hanging="180"/>
      </w:pPr>
    </w:lvl>
  </w:abstractNum>
  <w:abstractNum w:abstractNumId="2">
    <w:nsid w:val="086C597A"/>
    <w:multiLevelType w:val="hybridMultilevel"/>
    <w:tmpl w:val="C0BC7136"/>
    <w:lvl w:ilvl="0" w:tplc="B8900C2A">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CF40E74"/>
    <w:multiLevelType w:val="hybridMultilevel"/>
    <w:tmpl w:val="65EA56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D885916"/>
    <w:multiLevelType w:val="hybridMultilevel"/>
    <w:tmpl w:val="6C767502"/>
    <w:lvl w:ilvl="0" w:tplc="040C0011">
      <w:start w:val="1"/>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5">
    <w:nsid w:val="139F5D2A"/>
    <w:multiLevelType w:val="hybridMultilevel"/>
    <w:tmpl w:val="D26E3B86"/>
    <w:lvl w:ilvl="0" w:tplc="040C0017">
      <w:start w:val="1"/>
      <w:numFmt w:val="lowerLetter"/>
      <w:lvlText w:val="%1)"/>
      <w:lvlJc w:val="left"/>
      <w:pPr>
        <w:ind w:left="1920" w:hanging="360"/>
      </w:pPr>
      <w:rPr>
        <w:rFonts w:hint="default"/>
      </w:rPr>
    </w:lvl>
    <w:lvl w:ilvl="1" w:tplc="040C0019" w:tentative="1">
      <w:start w:val="1"/>
      <w:numFmt w:val="lowerLetter"/>
      <w:lvlText w:val="%2."/>
      <w:lvlJc w:val="left"/>
      <w:pPr>
        <w:ind w:left="2640" w:hanging="360"/>
      </w:pPr>
    </w:lvl>
    <w:lvl w:ilvl="2" w:tplc="040C001B" w:tentative="1">
      <w:start w:val="1"/>
      <w:numFmt w:val="lowerRoman"/>
      <w:lvlText w:val="%3."/>
      <w:lvlJc w:val="right"/>
      <w:pPr>
        <w:ind w:left="3360" w:hanging="180"/>
      </w:pPr>
    </w:lvl>
    <w:lvl w:ilvl="3" w:tplc="040C000F" w:tentative="1">
      <w:start w:val="1"/>
      <w:numFmt w:val="decimal"/>
      <w:lvlText w:val="%4."/>
      <w:lvlJc w:val="left"/>
      <w:pPr>
        <w:ind w:left="4080" w:hanging="360"/>
      </w:pPr>
    </w:lvl>
    <w:lvl w:ilvl="4" w:tplc="040C0019" w:tentative="1">
      <w:start w:val="1"/>
      <w:numFmt w:val="lowerLetter"/>
      <w:lvlText w:val="%5."/>
      <w:lvlJc w:val="left"/>
      <w:pPr>
        <w:ind w:left="4800" w:hanging="360"/>
      </w:pPr>
    </w:lvl>
    <w:lvl w:ilvl="5" w:tplc="040C001B" w:tentative="1">
      <w:start w:val="1"/>
      <w:numFmt w:val="lowerRoman"/>
      <w:lvlText w:val="%6."/>
      <w:lvlJc w:val="right"/>
      <w:pPr>
        <w:ind w:left="5520" w:hanging="180"/>
      </w:pPr>
    </w:lvl>
    <w:lvl w:ilvl="6" w:tplc="040C000F" w:tentative="1">
      <w:start w:val="1"/>
      <w:numFmt w:val="decimal"/>
      <w:lvlText w:val="%7."/>
      <w:lvlJc w:val="left"/>
      <w:pPr>
        <w:ind w:left="6240" w:hanging="360"/>
      </w:pPr>
    </w:lvl>
    <w:lvl w:ilvl="7" w:tplc="040C0019" w:tentative="1">
      <w:start w:val="1"/>
      <w:numFmt w:val="lowerLetter"/>
      <w:lvlText w:val="%8."/>
      <w:lvlJc w:val="left"/>
      <w:pPr>
        <w:ind w:left="6960" w:hanging="360"/>
      </w:pPr>
    </w:lvl>
    <w:lvl w:ilvl="8" w:tplc="040C001B" w:tentative="1">
      <w:start w:val="1"/>
      <w:numFmt w:val="lowerRoman"/>
      <w:lvlText w:val="%9."/>
      <w:lvlJc w:val="right"/>
      <w:pPr>
        <w:ind w:left="7680" w:hanging="180"/>
      </w:pPr>
    </w:lvl>
  </w:abstractNum>
  <w:abstractNum w:abstractNumId="6">
    <w:nsid w:val="176B291B"/>
    <w:multiLevelType w:val="hybridMultilevel"/>
    <w:tmpl w:val="66A66066"/>
    <w:lvl w:ilvl="0" w:tplc="040C0011">
      <w:start w:val="1"/>
      <w:numFmt w:val="decimal"/>
      <w:lvlText w:val="%1)"/>
      <w:lvlJc w:val="left"/>
      <w:pPr>
        <w:ind w:left="1495" w:hanging="360"/>
      </w:pPr>
      <w:rPr>
        <w:rFonts w:hint="default"/>
      </w:rPr>
    </w:lvl>
    <w:lvl w:ilvl="1" w:tplc="040C0019" w:tentative="1">
      <w:start w:val="1"/>
      <w:numFmt w:val="lowerLetter"/>
      <w:lvlText w:val="%2."/>
      <w:lvlJc w:val="left"/>
      <w:pPr>
        <w:ind w:left="2215" w:hanging="360"/>
      </w:pPr>
    </w:lvl>
    <w:lvl w:ilvl="2" w:tplc="040C001B" w:tentative="1">
      <w:start w:val="1"/>
      <w:numFmt w:val="lowerRoman"/>
      <w:lvlText w:val="%3."/>
      <w:lvlJc w:val="right"/>
      <w:pPr>
        <w:ind w:left="2935" w:hanging="180"/>
      </w:pPr>
    </w:lvl>
    <w:lvl w:ilvl="3" w:tplc="040C000F" w:tentative="1">
      <w:start w:val="1"/>
      <w:numFmt w:val="decimal"/>
      <w:lvlText w:val="%4."/>
      <w:lvlJc w:val="left"/>
      <w:pPr>
        <w:ind w:left="3655" w:hanging="360"/>
      </w:pPr>
    </w:lvl>
    <w:lvl w:ilvl="4" w:tplc="040C0019" w:tentative="1">
      <w:start w:val="1"/>
      <w:numFmt w:val="lowerLetter"/>
      <w:lvlText w:val="%5."/>
      <w:lvlJc w:val="left"/>
      <w:pPr>
        <w:ind w:left="4375" w:hanging="360"/>
      </w:pPr>
    </w:lvl>
    <w:lvl w:ilvl="5" w:tplc="040C001B" w:tentative="1">
      <w:start w:val="1"/>
      <w:numFmt w:val="lowerRoman"/>
      <w:lvlText w:val="%6."/>
      <w:lvlJc w:val="right"/>
      <w:pPr>
        <w:ind w:left="5095" w:hanging="180"/>
      </w:pPr>
    </w:lvl>
    <w:lvl w:ilvl="6" w:tplc="040C000F" w:tentative="1">
      <w:start w:val="1"/>
      <w:numFmt w:val="decimal"/>
      <w:lvlText w:val="%7."/>
      <w:lvlJc w:val="left"/>
      <w:pPr>
        <w:ind w:left="5815" w:hanging="360"/>
      </w:pPr>
    </w:lvl>
    <w:lvl w:ilvl="7" w:tplc="040C0019" w:tentative="1">
      <w:start w:val="1"/>
      <w:numFmt w:val="lowerLetter"/>
      <w:lvlText w:val="%8."/>
      <w:lvlJc w:val="left"/>
      <w:pPr>
        <w:ind w:left="6535" w:hanging="360"/>
      </w:pPr>
    </w:lvl>
    <w:lvl w:ilvl="8" w:tplc="040C001B" w:tentative="1">
      <w:start w:val="1"/>
      <w:numFmt w:val="lowerRoman"/>
      <w:lvlText w:val="%9."/>
      <w:lvlJc w:val="right"/>
      <w:pPr>
        <w:ind w:left="7255" w:hanging="180"/>
      </w:pPr>
    </w:lvl>
  </w:abstractNum>
  <w:abstractNum w:abstractNumId="7">
    <w:nsid w:val="287A0AD0"/>
    <w:multiLevelType w:val="hybridMultilevel"/>
    <w:tmpl w:val="E7BA7924"/>
    <w:lvl w:ilvl="0" w:tplc="040C0001">
      <w:start w:val="1"/>
      <w:numFmt w:val="bullet"/>
      <w:lvlText w:val=""/>
      <w:lvlJc w:val="left"/>
      <w:pPr>
        <w:ind w:left="774" w:hanging="360"/>
      </w:pPr>
      <w:rPr>
        <w:rFonts w:ascii="Symbol" w:hAnsi="Symbol" w:hint="default"/>
      </w:rPr>
    </w:lvl>
    <w:lvl w:ilvl="1" w:tplc="040C0003" w:tentative="1">
      <w:start w:val="1"/>
      <w:numFmt w:val="bullet"/>
      <w:lvlText w:val="o"/>
      <w:lvlJc w:val="left"/>
      <w:pPr>
        <w:ind w:left="1494" w:hanging="360"/>
      </w:pPr>
      <w:rPr>
        <w:rFonts w:ascii="Courier New" w:hAnsi="Courier New" w:cs="Courier New" w:hint="default"/>
      </w:rPr>
    </w:lvl>
    <w:lvl w:ilvl="2" w:tplc="040C0005" w:tentative="1">
      <w:start w:val="1"/>
      <w:numFmt w:val="bullet"/>
      <w:lvlText w:val=""/>
      <w:lvlJc w:val="left"/>
      <w:pPr>
        <w:ind w:left="2214" w:hanging="360"/>
      </w:pPr>
      <w:rPr>
        <w:rFonts w:ascii="Wingdings" w:hAnsi="Wingdings" w:hint="default"/>
      </w:rPr>
    </w:lvl>
    <w:lvl w:ilvl="3" w:tplc="040C0001" w:tentative="1">
      <w:start w:val="1"/>
      <w:numFmt w:val="bullet"/>
      <w:lvlText w:val=""/>
      <w:lvlJc w:val="left"/>
      <w:pPr>
        <w:ind w:left="2934" w:hanging="360"/>
      </w:pPr>
      <w:rPr>
        <w:rFonts w:ascii="Symbol" w:hAnsi="Symbol" w:hint="default"/>
      </w:rPr>
    </w:lvl>
    <w:lvl w:ilvl="4" w:tplc="040C0003" w:tentative="1">
      <w:start w:val="1"/>
      <w:numFmt w:val="bullet"/>
      <w:lvlText w:val="o"/>
      <w:lvlJc w:val="left"/>
      <w:pPr>
        <w:ind w:left="3654" w:hanging="360"/>
      </w:pPr>
      <w:rPr>
        <w:rFonts w:ascii="Courier New" w:hAnsi="Courier New" w:cs="Courier New" w:hint="default"/>
      </w:rPr>
    </w:lvl>
    <w:lvl w:ilvl="5" w:tplc="040C0005" w:tentative="1">
      <w:start w:val="1"/>
      <w:numFmt w:val="bullet"/>
      <w:lvlText w:val=""/>
      <w:lvlJc w:val="left"/>
      <w:pPr>
        <w:ind w:left="4374" w:hanging="360"/>
      </w:pPr>
      <w:rPr>
        <w:rFonts w:ascii="Wingdings" w:hAnsi="Wingdings" w:hint="default"/>
      </w:rPr>
    </w:lvl>
    <w:lvl w:ilvl="6" w:tplc="040C0001" w:tentative="1">
      <w:start w:val="1"/>
      <w:numFmt w:val="bullet"/>
      <w:lvlText w:val=""/>
      <w:lvlJc w:val="left"/>
      <w:pPr>
        <w:ind w:left="5094" w:hanging="360"/>
      </w:pPr>
      <w:rPr>
        <w:rFonts w:ascii="Symbol" w:hAnsi="Symbol" w:hint="default"/>
      </w:rPr>
    </w:lvl>
    <w:lvl w:ilvl="7" w:tplc="040C0003" w:tentative="1">
      <w:start w:val="1"/>
      <w:numFmt w:val="bullet"/>
      <w:lvlText w:val="o"/>
      <w:lvlJc w:val="left"/>
      <w:pPr>
        <w:ind w:left="5814" w:hanging="360"/>
      </w:pPr>
      <w:rPr>
        <w:rFonts w:ascii="Courier New" w:hAnsi="Courier New" w:cs="Courier New" w:hint="default"/>
      </w:rPr>
    </w:lvl>
    <w:lvl w:ilvl="8" w:tplc="040C0005" w:tentative="1">
      <w:start w:val="1"/>
      <w:numFmt w:val="bullet"/>
      <w:lvlText w:val=""/>
      <w:lvlJc w:val="left"/>
      <w:pPr>
        <w:ind w:left="6534" w:hanging="360"/>
      </w:pPr>
      <w:rPr>
        <w:rFonts w:ascii="Wingdings" w:hAnsi="Wingdings" w:hint="default"/>
      </w:rPr>
    </w:lvl>
  </w:abstractNum>
  <w:abstractNum w:abstractNumId="8">
    <w:nsid w:val="28A0314C"/>
    <w:multiLevelType w:val="hybridMultilevel"/>
    <w:tmpl w:val="7EC866DA"/>
    <w:lvl w:ilvl="0" w:tplc="CAC2FA68">
      <w:start w:val="1"/>
      <w:numFmt w:val="upperRoman"/>
      <w:lvlText w:val="%1)"/>
      <w:lvlJc w:val="left"/>
      <w:pPr>
        <w:ind w:left="1080" w:hanging="720"/>
      </w:pPr>
      <w:rPr>
        <w:rFonts w:hint="default"/>
      </w:rPr>
    </w:lvl>
    <w:lvl w:ilvl="1" w:tplc="38208312">
      <w:start w:val="7"/>
      <w:numFmt w:val="bullet"/>
      <w:lvlText w:val="-"/>
      <w:lvlJc w:val="left"/>
      <w:pPr>
        <w:ind w:left="1440" w:hanging="360"/>
      </w:pPr>
      <w:rPr>
        <w:rFonts w:ascii="Arial" w:eastAsia="Times New Roman" w:hAnsi="Arial" w:cs="Aria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28C26496"/>
    <w:multiLevelType w:val="hybridMultilevel"/>
    <w:tmpl w:val="4786668E"/>
    <w:lvl w:ilvl="0" w:tplc="040C0001">
      <w:start w:val="1"/>
      <w:numFmt w:val="bullet"/>
      <w:lvlText w:val=""/>
      <w:lvlJc w:val="left"/>
      <w:pPr>
        <w:ind w:left="786" w:hanging="360"/>
      </w:pPr>
      <w:rPr>
        <w:rFonts w:ascii="Symbol" w:hAnsi="Symbol"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10">
    <w:nsid w:val="28F863A4"/>
    <w:multiLevelType w:val="hybridMultilevel"/>
    <w:tmpl w:val="D712825C"/>
    <w:lvl w:ilvl="0" w:tplc="1300372A">
      <w:start w:val="1"/>
      <w:numFmt w:val="decimal"/>
      <w:lvlText w:val="%1)"/>
      <w:lvlJc w:val="left"/>
      <w:pPr>
        <w:ind w:left="928" w:hanging="360"/>
      </w:pPr>
      <w:rPr>
        <w:rFonts w:eastAsia="Calibri" w:hint="default"/>
      </w:rPr>
    </w:lvl>
    <w:lvl w:ilvl="1" w:tplc="040C0019" w:tentative="1">
      <w:start w:val="1"/>
      <w:numFmt w:val="lowerLetter"/>
      <w:lvlText w:val="%2."/>
      <w:lvlJc w:val="left"/>
      <w:pPr>
        <w:ind w:left="1648" w:hanging="360"/>
      </w:pPr>
    </w:lvl>
    <w:lvl w:ilvl="2" w:tplc="040C001B" w:tentative="1">
      <w:start w:val="1"/>
      <w:numFmt w:val="lowerRoman"/>
      <w:lvlText w:val="%3."/>
      <w:lvlJc w:val="right"/>
      <w:pPr>
        <w:ind w:left="2368" w:hanging="180"/>
      </w:pPr>
    </w:lvl>
    <w:lvl w:ilvl="3" w:tplc="040C000F" w:tentative="1">
      <w:start w:val="1"/>
      <w:numFmt w:val="decimal"/>
      <w:lvlText w:val="%4."/>
      <w:lvlJc w:val="left"/>
      <w:pPr>
        <w:ind w:left="3088" w:hanging="360"/>
      </w:pPr>
    </w:lvl>
    <w:lvl w:ilvl="4" w:tplc="040C0019" w:tentative="1">
      <w:start w:val="1"/>
      <w:numFmt w:val="lowerLetter"/>
      <w:lvlText w:val="%5."/>
      <w:lvlJc w:val="left"/>
      <w:pPr>
        <w:ind w:left="3808" w:hanging="360"/>
      </w:pPr>
    </w:lvl>
    <w:lvl w:ilvl="5" w:tplc="040C001B" w:tentative="1">
      <w:start w:val="1"/>
      <w:numFmt w:val="lowerRoman"/>
      <w:lvlText w:val="%6."/>
      <w:lvlJc w:val="right"/>
      <w:pPr>
        <w:ind w:left="4528" w:hanging="180"/>
      </w:pPr>
    </w:lvl>
    <w:lvl w:ilvl="6" w:tplc="040C000F" w:tentative="1">
      <w:start w:val="1"/>
      <w:numFmt w:val="decimal"/>
      <w:lvlText w:val="%7."/>
      <w:lvlJc w:val="left"/>
      <w:pPr>
        <w:ind w:left="5248" w:hanging="360"/>
      </w:pPr>
    </w:lvl>
    <w:lvl w:ilvl="7" w:tplc="040C0019" w:tentative="1">
      <w:start w:val="1"/>
      <w:numFmt w:val="lowerLetter"/>
      <w:lvlText w:val="%8."/>
      <w:lvlJc w:val="left"/>
      <w:pPr>
        <w:ind w:left="5968" w:hanging="360"/>
      </w:pPr>
    </w:lvl>
    <w:lvl w:ilvl="8" w:tplc="040C001B" w:tentative="1">
      <w:start w:val="1"/>
      <w:numFmt w:val="lowerRoman"/>
      <w:lvlText w:val="%9."/>
      <w:lvlJc w:val="right"/>
      <w:pPr>
        <w:ind w:left="6688" w:hanging="180"/>
      </w:pPr>
    </w:lvl>
  </w:abstractNum>
  <w:abstractNum w:abstractNumId="11">
    <w:nsid w:val="2A537A46"/>
    <w:multiLevelType w:val="hybridMultilevel"/>
    <w:tmpl w:val="2CA05AC6"/>
    <w:lvl w:ilvl="0" w:tplc="F796FCD2">
      <w:start w:val="1"/>
      <w:numFmt w:val="upperLetter"/>
      <w:lvlText w:val="%1)"/>
      <w:lvlJc w:val="left"/>
      <w:pPr>
        <w:ind w:left="765" w:hanging="405"/>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2DAB3387"/>
    <w:multiLevelType w:val="hybridMultilevel"/>
    <w:tmpl w:val="60DE877E"/>
    <w:lvl w:ilvl="0" w:tplc="EF403490">
      <w:start w:val="3"/>
      <w:numFmt w:val="decimal"/>
      <w:lvlText w:val="%1)"/>
      <w:lvlJc w:val="left"/>
      <w:pPr>
        <w:ind w:left="149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318B50A3"/>
    <w:multiLevelType w:val="hybridMultilevel"/>
    <w:tmpl w:val="60BA433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31D4517E"/>
    <w:multiLevelType w:val="hybridMultilevel"/>
    <w:tmpl w:val="DEACE778"/>
    <w:lvl w:ilvl="0" w:tplc="040C0017">
      <w:start w:val="1"/>
      <w:numFmt w:val="lowerLetter"/>
      <w:lvlText w:val="%1)"/>
      <w:lvlJc w:val="left"/>
      <w:pPr>
        <w:ind w:left="1920" w:hanging="360"/>
      </w:pPr>
      <w:rPr>
        <w:rFonts w:hint="default"/>
      </w:rPr>
    </w:lvl>
    <w:lvl w:ilvl="1" w:tplc="040C0019" w:tentative="1">
      <w:start w:val="1"/>
      <w:numFmt w:val="lowerLetter"/>
      <w:lvlText w:val="%2."/>
      <w:lvlJc w:val="left"/>
      <w:pPr>
        <w:ind w:left="2640" w:hanging="360"/>
      </w:pPr>
    </w:lvl>
    <w:lvl w:ilvl="2" w:tplc="040C001B" w:tentative="1">
      <w:start w:val="1"/>
      <w:numFmt w:val="lowerRoman"/>
      <w:lvlText w:val="%3."/>
      <w:lvlJc w:val="right"/>
      <w:pPr>
        <w:ind w:left="3360" w:hanging="180"/>
      </w:pPr>
    </w:lvl>
    <w:lvl w:ilvl="3" w:tplc="040C000F" w:tentative="1">
      <w:start w:val="1"/>
      <w:numFmt w:val="decimal"/>
      <w:lvlText w:val="%4."/>
      <w:lvlJc w:val="left"/>
      <w:pPr>
        <w:ind w:left="4080" w:hanging="360"/>
      </w:pPr>
    </w:lvl>
    <w:lvl w:ilvl="4" w:tplc="040C0019" w:tentative="1">
      <w:start w:val="1"/>
      <w:numFmt w:val="lowerLetter"/>
      <w:lvlText w:val="%5."/>
      <w:lvlJc w:val="left"/>
      <w:pPr>
        <w:ind w:left="4800" w:hanging="360"/>
      </w:pPr>
    </w:lvl>
    <w:lvl w:ilvl="5" w:tplc="040C001B" w:tentative="1">
      <w:start w:val="1"/>
      <w:numFmt w:val="lowerRoman"/>
      <w:lvlText w:val="%6."/>
      <w:lvlJc w:val="right"/>
      <w:pPr>
        <w:ind w:left="5520" w:hanging="180"/>
      </w:pPr>
    </w:lvl>
    <w:lvl w:ilvl="6" w:tplc="040C000F" w:tentative="1">
      <w:start w:val="1"/>
      <w:numFmt w:val="decimal"/>
      <w:lvlText w:val="%7."/>
      <w:lvlJc w:val="left"/>
      <w:pPr>
        <w:ind w:left="6240" w:hanging="360"/>
      </w:pPr>
    </w:lvl>
    <w:lvl w:ilvl="7" w:tplc="040C0019" w:tentative="1">
      <w:start w:val="1"/>
      <w:numFmt w:val="lowerLetter"/>
      <w:lvlText w:val="%8."/>
      <w:lvlJc w:val="left"/>
      <w:pPr>
        <w:ind w:left="6960" w:hanging="360"/>
      </w:pPr>
    </w:lvl>
    <w:lvl w:ilvl="8" w:tplc="040C001B" w:tentative="1">
      <w:start w:val="1"/>
      <w:numFmt w:val="lowerRoman"/>
      <w:lvlText w:val="%9."/>
      <w:lvlJc w:val="right"/>
      <w:pPr>
        <w:ind w:left="7680" w:hanging="180"/>
      </w:pPr>
    </w:lvl>
  </w:abstractNum>
  <w:abstractNum w:abstractNumId="15">
    <w:nsid w:val="37253E74"/>
    <w:multiLevelType w:val="hybridMultilevel"/>
    <w:tmpl w:val="59A45532"/>
    <w:lvl w:ilvl="0" w:tplc="457ACE86">
      <w:start w:val="7"/>
      <w:numFmt w:val="decimal"/>
      <w:lvlText w:val="%1)"/>
      <w:lvlJc w:val="left"/>
      <w:pPr>
        <w:ind w:left="1495" w:hanging="360"/>
      </w:pPr>
      <w:rPr>
        <w:rFonts w:eastAsia="Calibri" w:hint="default"/>
      </w:rPr>
    </w:lvl>
    <w:lvl w:ilvl="1" w:tplc="040C0019">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6">
    <w:nsid w:val="37EE6972"/>
    <w:multiLevelType w:val="hybridMultilevel"/>
    <w:tmpl w:val="6ADCF0C6"/>
    <w:lvl w:ilvl="0" w:tplc="040C0011">
      <w:start w:val="1"/>
      <w:numFmt w:val="decimal"/>
      <w:lvlText w:val="%1)"/>
      <w:lvlJc w:val="left"/>
      <w:pPr>
        <w:ind w:left="1495" w:hanging="360"/>
      </w:pPr>
      <w:rPr>
        <w:rFonts w:hint="default"/>
      </w:rPr>
    </w:lvl>
    <w:lvl w:ilvl="1" w:tplc="040C0019" w:tentative="1">
      <w:start w:val="1"/>
      <w:numFmt w:val="lowerLetter"/>
      <w:lvlText w:val="%2."/>
      <w:lvlJc w:val="left"/>
      <w:pPr>
        <w:ind w:left="2215" w:hanging="360"/>
      </w:pPr>
    </w:lvl>
    <w:lvl w:ilvl="2" w:tplc="040C001B" w:tentative="1">
      <w:start w:val="1"/>
      <w:numFmt w:val="lowerRoman"/>
      <w:lvlText w:val="%3."/>
      <w:lvlJc w:val="right"/>
      <w:pPr>
        <w:ind w:left="2935" w:hanging="180"/>
      </w:pPr>
    </w:lvl>
    <w:lvl w:ilvl="3" w:tplc="040C000F" w:tentative="1">
      <w:start w:val="1"/>
      <w:numFmt w:val="decimal"/>
      <w:lvlText w:val="%4."/>
      <w:lvlJc w:val="left"/>
      <w:pPr>
        <w:ind w:left="3655" w:hanging="360"/>
      </w:pPr>
    </w:lvl>
    <w:lvl w:ilvl="4" w:tplc="040C0019" w:tentative="1">
      <w:start w:val="1"/>
      <w:numFmt w:val="lowerLetter"/>
      <w:lvlText w:val="%5."/>
      <w:lvlJc w:val="left"/>
      <w:pPr>
        <w:ind w:left="4375" w:hanging="360"/>
      </w:pPr>
    </w:lvl>
    <w:lvl w:ilvl="5" w:tplc="040C001B" w:tentative="1">
      <w:start w:val="1"/>
      <w:numFmt w:val="lowerRoman"/>
      <w:lvlText w:val="%6."/>
      <w:lvlJc w:val="right"/>
      <w:pPr>
        <w:ind w:left="5095" w:hanging="180"/>
      </w:pPr>
    </w:lvl>
    <w:lvl w:ilvl="6" w:tplc="040C000F" w:tentative="1">
      <w:start w:val="1"/>
      <w:numFmt w:val="decimal"/>
      <w:lvlText w:val="%7."/>
      <w:lvlJc w:val="left"/>
      <w:pPr>
        <w:ind w:left="5815" w:hanging="360"/>
      </w:pPr>
    </w:lvl>
    <w:lvl w:ilvl="7" w:tplc="040C0019" w:tentative="1">
      <w:start w:val="1"/>
      <w:numFmt w:val="lowerLetter"/>
      <w:lvlText w:val="%8."/>
      <w:lvlJc w:val="left"/>
      <w:pPr>
        <w:ind w:left="6535" w:hanging="360"/>
      </w:pPr>
    </w:lvl>
    <w:lvl w:ilvl="8" w:tplc="040C001B" w:tentative="1">
      <w:start w:val="1"/>
      <w:numFmt w:val="lowerRoman"/>
      <w:lvlText w:val="%9."/>
      <w:lvlJc w:val="right"/>
      <w:pPr>
        <w:ind w:left="7255" w:hanging="180"/>
      </w:pPr>
    </w:lvl>
  </w:abstractNum>
  <w:abstractNum w:abstractNumId="17">
    <w:nsid w:val="3A3E0BF0"/>
    <w:multiLevelType w:val="hybridMultilevel"/>
    <w:tmpl w:val="2A22A9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3A5502CA"/>
    <w:multiLevelType w:val="hybridMultilevel"/>
    <w:tmpl w:val="6018D7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3D5650E6"/>
    <w:multiLevelType w:val="hybridMultilevel"/>
    <w:tmpl w:val="09820A72"/>
    <w:lvl w:ilvl="0" w:tplc="040C0017">
      <w:start w:val="1"/>
      <w:numFmt w:val="lowerLetter"/>
      <w:lvlText w:val="%1)"/>
      <w:lvlJc w:val="left"/>
      <w:pPr>
        <w:ind w:left="1637" w:hanging="360"/>
      </w:pPr>
      <w:rPr>
        <w:rFonts w:hint="default"/>
      </w:rPr>
    </w:lvl>
    <w:lvl w:ilvl="1" w:tplc="040C0019" w:tentative="1">
      <w:start w:val="1"/>
      <w:numFmt w:val="lowerLetter"/>
      <w:lvlText w:val="%2."/>
      <w:lvlJc w:val="left"/>
      <w:pPr>
        <w:ind w:left="2357" w:hanging="360"/>
      </w:pPr>
    </w:lvl>
    <w:lvl w:ilvl="2" w:tplc="040C001B" w:tentative="1">
      <w:start w:val="1"/>
      <w:numFmt w:val="lowerRoman"/>
      <w:lvlText w:val="%3."/>
      <w:lvlJc w:val="right"/>
      <w:pPr>
        <w:ind w:left="3077" w:hanging="180"/>
      </w:pPr>
    </w:lvl>
    <w:lvl w:ilvl="3" w:tplc="040C000F" w:tentative="1">
      <w:start w:val="1"/>
      <w:numFmt w:val="decimal"/>
      <w:lvlText w:val="%4."/>
      <w:lvlJc w:val="left"/>
      <w:pPr>
        <w:ind w:left="3797" w:hanging="360"/>
      </w:pPr>
    </w:lvl>
    <w:lvl w:ilvl="4" w:tplc="040C0019" w:tentative="1">
      <w:start w:val="1"/>
      <w:numFmt w:val="lowerLetter"/>
      <w:lvlText w:val="%5."/>
      <w:lvlJc w:val="left"/>
      <w:pPr>
        <w:ind w:left="4517" w:hanging="360"/>
      </w:pPr>
    </w:lvl>
    <w:lvl w:ilvl="5" w:tplc="040C001B" w:tentative="1">
      <w:start w:val="1"/>
      <w:numFmt w:val="lowerRoman"/>
      <w:lvlText w:val="%6."/>
      <w:lvlJc w:val="right"/>
      <w:pPr>
        <w:ind w:left="5237" w:hanging="180"/>
      </w:pPr>
    </w:lvl>
    <w:lvl w:ilvl="6" w:tplc="040C000F" w:tentative="1">
      <w:start w:val="1"/>
      <w:numFmt w:val="decimal"/>
      <w:lvlText w:val="%7."/>
      <w:lvlJc w:val="left"/>
      <w:pPr>
        <w:ind w:left="5957" w:hanging="360"/>
      </w:pPr>
    </w:lvl>
    <w:lvl w:ilvl="7" w:tplc="040C0019" w:tentative="1">
      <w:start w:val="1"/>
      <w:numFmt w:val="lowerLetter"/>
      <w:lvlText w:val="%8."/>
      <w:lvlJc w:val="left"/>
      <w:pPr>
        <w:ind w:left="6677" w:hanging="360"/>
      </w:pPr>
    </w:lvl>
    <w:lvl w:ilvl="8" w:tplc="040C001B" w:tentative="1">
      <w:start w:val="1"/>
      <w:numFmt w:val="lowerRoman"/>
      <w:lvlText w:val="%9."/>
      <w:lvlJc w:val="right"/>
      <w:pPr>
        <w:ind w:left="7397" w:hanging="180"/>
      </w:pPr>
    </w:lvl>
  </w:abstractNum>
  <w:abstractNum w:abstractNumId="20">
    <w:nsid w:val="3E3661EC"/>
    <w:multiLevelType w:val="hybridMultilevel"/>
    <w:tmpl w:val="663C69FC"/>
    <w:lvl w:ilvl="0" w:tplc="040C0001">
      <w:start w:val="1"/>
      <w:numFmt w:val="bullet"/>
      <w:lvlText w:val=""/>
      <w:lvlJc w:val="left"/>
      <w:pPr>
        <w:ind w:left="720" w:hanging="360"/>
      </w:pPr>
      <w:rPr>
        <w:rFonts w:ascii="Symbol" w:hAnsi="Symbol" w:hint="default"/>
      </w:rPr>
    </w:lvl>
    <w:lvl w:ilvl="1" w:tplc="7F427EDE">
      <w:start w:val="1"/>
      <w:numFmt w:val="bullet"/>
      <w:lvlText w:val="-"/>
      <w:lvlJc w:val="left"/>
      <w:pPr>
        <w:ind w:left="1440" w:hanging="360"/>
      </w:pPr>
      <w:rPr>
        <w:rFonts w:ascii="Arial" w:eastAsia="Times New Roman"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42224831"/>
    <w:multiLevelType w:val="hybridMultilevel"/>
    <w:tmpl w:val="FB7C469A"/>
    <w:lvl w:ilvl="0" w:tplc="5F28E1D2">
      <w:start w:val="2"/>
      <w:numFmt w:val="upperLetter"/>
      <w:lvlText w:val="%1)"/>
      <w:lvlJc w:val="left"/>
      <w:pPr>
        <w:ind w:left="1637" w:hanging="360"/>
      </w:pPr>
      <w:rPr>
        <w:rFonts w:hint="default"/>
      </w:rPr>
    </w:lvl>
    <w:lvl w:ilvl="1" w:tplc="040C0019" w:tentative="1">
      <w:start w:val="1"/>
      <w:numFmt w:val="lowerLetter"/>
      <w:lvlText w:val="%2."/>
      <w:lvlJc w:val="left"/>
      <w:pPr>
        <w:ind w:left="2357" w:hanging="360"/>
      </w:pPr>
    </w:lvl>
    <w:lvl w:ilvl="2" w:tplc="040C001B" w:tentative="1">
      <w:start w:val="1"/>
      <w:numFmt w:val="lowerRoman"/>
      <w:lvlText w:val="%3."/>
      <w:lvlJc w:val="right"/>
      <w:pPr>
        <w:ind w:left="3077" w:hanging="180"/>
      </w:pPr>
    </w:lvl>
    <w:lvl w:ilvl="3" w:tplc="040C000F" w:tentative="1">
      <w:start w:val="1"/>
      <w:numFmt w:val="decimal"/>
      <w:lvlText w:val="%4."/>
      <w:lvlJc w:val="left"/>
      <w:pPr>
        <w:ind w:left="3797" w:hanging="360"/>
      </w:pPr>
    </w:lvl>
    <w:lvl w:ilvl="4" w:tplc="040C0019" w:tentative="1">
      <w:start w:val="1"/>
      <w:numFmt w:val="lowerLetter"/>
      <w:lvlText w:val="%5."/>
      <w:lvlJc w:val="left"/>
      <w:pPr>
        <w:ind w:left="4517" w:hanging="360"/>
      </w:pPr>
    </w:lvl>
    <w:lvl w:ilvl="5" w:tplc="040C001B" w:tentative="1">
      <w:start w:val="1"/>
      <w:numFmt w:val="lowerRoman"/>
      <w:lvlText w:val="%6."/>
      <w:lvlJc w:val="right"/>
      <w:pPr>
        <w:ind w:left="5237" w:hanging="180"/>
      </w:pPr>
    </w:lvl>
    <w:lvl w:ilvl="6" w:tplc="040C000F" w:tentative="1">
      <w:start w:val="1"/>
      <w:numFmt w:val="decimal"/>
      <w:lvlText w:val="%7."/>
      <w:lvlJc w:val="left"/>
      <w:pPr>
        <w:ind w:left="5957" w:hanging="360"/>
      </w:pPr>
    </w:lvl>
    <w:lvl w:ilvl="7" w:tplc="040C0019" w:tentative="1">
      <w:start w:val="1"/>
      <w:numFmt w:val="lowerLetter"/>
      <w:lvlText w:val="%8."/>
      <w:lvlJc w:val="left"/>
      <w:pPr>
        <w:ind w:left="6677" w:hanging="360"/>
      </w:pPr>
    </w:lvl>
    <w:lvl w:ilvl="8" w:tplc="040C001B" w:tentative="1">
      <w:start w:val="1"/>
      <w:numFmt w:val="lowerRoman"/>
      <w:lvlText w:val="%9."/>
      <w:lvlJc w:val="right"/>
      <w:pPr>
        <w:ind w:left="7397" w:hanging="180"/>
      </w:pPr>
    </w:lvl>
  </w:abstractNum>
  <w:abstractNum w:abstractNumId="22">
    <w:nsid w:val="4BC45253"/>
    <w:multiLevelType w:val="multilevel"/>
    <w:tmpl w:val="DCB6E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EBF3B69"/>
    <w:multiLevelType w:val="multilevel"/>
    <w:tmpl w:val="CF547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01D4033"/>
    <w:multiLevelType w:val="hybridMultilevel"/>
    <w:tmpl w:val="987C5072"/>
    <w:lvl w:ilvl="0" w:tplc="040C0017">
      <w:start w:val="1"/>
      <w:numFmt w:val="lowerLetter"/>
      <w:lvlText w:val="%1)"/>
      <w:lvlJc w:val="left"/>
      <w:pPr>
        <w:ind w:left="1920" w:hanging="360"/>
      </w:pPr>
      <w:rPr>
        <w:rFonts w:hint="default"/>
      </w:rPr>
    </w:lvl>
    <w:lvl w:ilvl="1" w:tplc="040C0019" w:tentative="1">
      <w:start w:val="1"/>
      <w:numFmt w:val="lowerLetter"/>
      <w:lvlText w:val="%2."/>
      <w:lvlJc w:val="left"/>
      <w:pPr>
        <w:ind w:left="2640" w:hanging="360"/>
      </w:pPr>
    </w:lvl>
    <w:lvl w:ilvl="2" w:tplc="040C001B" w:tentative="1">
      <w:start w:val="1"/>
      <w:numFmt w:val="lowerRoman"/>
      <w:lvlText w:val="%3."/>
      <w:lvlJc w:val="right"/>
      <w:pPr>
        <w:ind w:left="3360" w:hanging="180"/>
      </w:pPr>
    </w:lvl>
    <w:lvl w:ilvl="3" w:tplc="040C000F" w:tentative="1">
      <w:start w:val="1"/>
      <w:numFmt w:val="decimal"/>
      <w:lvlText w:val="%4."/>
      <w:lvlJc w:val="left"/>
      <w:pPr>
        <w:ind w:left="4080" w:hanging="360"/>
      </w:pPr>
    </w:lvl>
    <w:lvl w:ilvl="4" w:tplc="040C0019" w:tentative="1">
      <w:start w:val="1"/>
      <w:numFmt w:val="lowerLetter"/>
      <w:lvlText w:val="%5."/>
      <w:lvlJc w:val="left"/>
      <w:pPr>
        <w:ind w:left="4800" w:hanging="360"/>
      </w:pPr>
    </w:lvl>
    <w:lvl w:ilvl="5" w:tplc="040C001B" w:tentative="1">
      <w:start w:val="1"/>
      <w:numFmt w:val="lowerRoman"/>
      <w:lvlText w:val="%6."/>
      <w:lvlJc w:val="right"/>
      <w:pPr>
        <w:ind w:left="5520" w:hanging="180"/>
      </w:pPr>
    </w:lvl>
    <w:lvl w:ilvl="6" w:tplc="040C000F" w:tentative="1">
      <w:start w:val="1"/>
      <w:numFmt w:val="decimal"/>
      <w:lvlText w:val="%7."/>
      <w:lvlJc w:val="left"/>
      <w:pPr>
        <w:ind w:left="6240" w:hanging="360"/>
      </w:pPr>
    </w:lvl>
    <w:lvl w:ilvl="7" w:tplc="040C0019" w:tentative="1">
      <w:start w:val="1"/>
      <w:numFmt w:val="lowerLetter"/>
      <w:lvlText w:val="%8."/>
      <w:lvlJc w:val="left"/>
      <w:pPr>
        <w:ind w:left="6960" w:hanging="360"/>
      </w:pPr>
    </w:lvl>
    <w:lvl w:ilvl="8" w:tplc="040C001B" w:tentative="1">
      <w:start w:val="1"/>
      <w:numFmt w:val="lowerRoman"/>
      <w:lvlText w:val="%9."/>
      <w:lvlJc w:val="right"/>
      <w:pPr>
        <w:ind w:left="7680" w:hanging="180"/>
      </w:pPr>
    </w:lvl>
  </w:abstractNum>
  <w:abstractNum w:abstractNumId="25">
    <w:nsid w:val="52497827"/>
    <w:multiLevelType w:val="multilevel"/>
    <w:tmpl w:val="908CC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1A00999"/>
    <w:multiLevelType w:val="hybridMultilevel"/>
    <w:tmpl w:val="A9E65E62"/>
    <w:lvl w:ilvl="0" w:tplc="B8900C2A">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64456AD3"/>
    <w:multiLevelType w:val="hybridMultilevel"/>
    <w:tmpl w:val="C51434A6"/>
    <w:lvl w:ilvl="0" w:tplc="040C0001">
      <w:start w:val="1"/>
      <w:numFmt w:val="bullet"/>
      <w:lvlText w:val=""/>
      <w:lvlJc w:val="left"/>
      <w:pPr>
        <w:ind w:left="1495" w:hanging="360"/>
      </w:pPr>
      <w:rPr>
        <w:rFonts w:ascii="Symbol" w:hAnsi="Symbol" w:hint="default"/>
      </w:rPr>
    </w:lvl>
    <w:lvl w:ilvl="1" w:tplc="040C0019" w:tentative="1">
      <w:start w:val="1"/>
      <w:numFmt w:val="lowerLetter"/>
      <w:lvlText w:val="%2."/>
      <w:lvlJc w:val="left"/>
      <w:pPr>
        <w:ind w:left="2215" w:hanging="360"/>
      </w:pPr>
    </w:lvl>
    <w:lvl w:ilvl="2" w:tplc="040C001B" w:tentative="1">
      <w:start w:val="1"/>
      <w:numFmt w:val="lowerRoman"/>
      <w:lvlText w:val="%3."/>
      <w:lvlJc w:val="right"/>
      <w:pPr>
        <w:ind w:left="2935" w:hanging="180"/>
      </w:pPr>
    </w:lvl>
    <w:lvl w:ilvl="3" w:tplc="040C000F" w:tentative="1">
      <w:start w:val="1"/>
      <w:numFmt w:val="decimal"/>
      <w:lvlText w:val="%4."/>
      <w:lvlJc w:val="left"/>
      <w:pPr>
        <w:ind w:left="3655" w:hanging="360"/>
      </w:pPr>
    </w:lvl>
    <w:lvl w:ilvl="4" w:tplc="040C0019" w:tentative="1">
      <w:start w:val="1"/>
      <w:numFmt w:val="lowerLetter"/>
      <w:lvlText w:val="%5."/>
      <w:lvlJc w:val="left"/>
      <w:pPr>
        <w:ind w:left="4375" w:hanging="360"/>
      </w:pPr>
    </w:lvl>
    <w:lvl w:ilvl="5" w:tplc="040C001B" w:tentative="1">
      <w:start w:val="1"/>
      <w:numFmt w:val="lowerRoman"/>
      <w:lvlText w:val="%6."/>
      <w:lvlJc w:val="right"/>
      <w:pPr>
        <w:ind w:left="5095" w:hanging="180"/>
      </w:pPr>
    </w:lvl>
    <w:lvl w:ilvl="6" w:tplc="040C000F" w:tentative="1">
      <w:start w:val="1"/>
      <w:numFmt w:val="decimal"/>
      <w:lvlText w:val="%7."/>
      <w:lvlJc w:val="left"/>
      <w:pPr>
        <w:ind w:left="5815" w:hanging="360"/>
      </w:pPr>
    </w:lvl>
    <w:lvl w:ilvl="7" w:tplc="040C0019" w:tentative="1">
      <w:start w:val="1"/>
      <w:numFmt w:val="lowerLetter"/>
      <w:lvlText w:val="%8."/>
      <w:lvlJc w:val="left"/>
      <w:pPr>
        <w:ind w:left="6535" w:hanging="360"/>
      </w:pPr>
    </w:lvl>
    <w:lvl w:ilvl="8" w:tplc="040C001B" w:tentative="1">
      <w:start w:val="1"/>
      <w:numFmt w:val="lowerRoman"/>
      <w:lvlText w:val="%9."/>
      <w:lvlJc w:val="right"/>
      <w:pPr>
        <w:ind w:left="7255" w:hanging="180"/>
      </w:pPr>
    </w:lvl>
  </w:abstractNum>
  <w:abstractNum w:abstractNumId="28">
    <w:nsid w:val="64F966B2"/>
    <w:multiLevelType w:val="hybridMultilevel"/>
    <w:tmpl w:val="164CC9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6554184A"/>
    <w:multiLevelType w:val="hybridMultilevel"/>
    <w:tmpl w:val="797AB742"/>
    <w:lvl w:ilvl="0" w:tplc="040C0011">
      <w:start w:val="1"/>
      <w:numFmt w:val="decimal"/>
      <w:lvlText w:val="%1)"/>
      <w:lvlJc w:val="left"/>
      <w:pPr>
        <w:ind w:left="1495" w:hanging="360"/>
      </w:pPr>
      <w:rPr>
        <w:rFonts w:hint="default"/>
      </w:rPr>
    </w:lvl>
    <w:lvl w:ilvl="1" w:tplc="040C0019" w:tentative="1">
      <w:start w:val="1"/>
      <w:numFmt w:val="lowerLetter"/>
      <w:lvlText w:val="%2."/>
      <w:lvlJc w:val="left"/>
      <w:pPr>
        <w:ind w:left="2215" w:hanging="360"/>
      </w:pPr>
    </w:lvl>
    <w:lvl w:ilvl="2" w:tplc="040C001B" w:tentative="1">
      <w:start w:val="1"/>
      <w:numFmt w:val="lowerRoman"/>
      <w:lvlText w:val="%3."/>
      <w:lvlJc w:val="right"/>
      <w:pPr>
        <w:ind w:left="2935" w:hanging="180"/>
      </w:pPr>
    </w:lvl>
    <w:lvl w:ilvl="3" w:tplc="040C000F" w:tentative="1">
      <w:start w:val="1"/>
      <w:numFmt w:val="decimal"/>
      <w:lvlText w:val="%4."/>
      <w:lvlJc w:val="left"/>
      <w:pPr>
        <w:ind w:left="3655" w:hanging="360"/>
      </w:pPr>
    </w:lvl>
    <w:lvl w:ilvl="4" w:tplc="040C0019" w:tentative="1">
      <w:start w:val="1"/>
      <w:numFmt w:val="lowerLetter"/>
      <w:lvlText w:val="%5."/>
      <w:lvlJc w:val="left"/>
      <w:pPr>
        <w:ind w:left="4375" w:hanging="360"/>
      </w:pPr>
    </w:lvl>
    <w:lvl w:ilvl="5" w:tplc="040C001B" w:tentative="1">
      <w:start w:val="1"/>
      <w:numFmt w:val="lowerRoman"/>
      <w:lvlText w:val="%6."/>
      <w:lvlJc w:val="right"/>
      <w:pPr>
        <w:ind w:left="5095" w:hanging="180"/>
      </w:pPr>
    </w:lvl>
    <w:lvl w:ilvl="6" w:tplc="040C000F" w:tentative="1">
      <w:start w:val="1"/>
      <w:numFmt w:val="decimal"/>
      <w:lvlText w:val="%7."/>
      <w:lvlJc w:val="left"/>
      <w:pPr>
        <w:ind w:left="5815" w:hanging="360"/>
      </w:pPr>
    </w:lvl>
    <w:lvl w:ilvl="7" w:tplc="040C0019" w:tentative="1">
      <w:start w:val="1"/>
      <w:numFmt w:val="lowerLetter"/>
      <w:lvlText w:val="%8."/>
      <w:lvlJc w:val="left"/>
      <w:pPr>
        <w:ind w:left="6535" w:hanging="360"/>
      </w:pPr>
    </w:lvl>
    <w:lvl w:ilvl="8" w:tplc="040C001B" w:tentative="1">
      <w:start w:val="1"/>
      <w:numFmt w:val="lowerRoman"/>
      <w:lvlText w:val="%9."/>
      <w:lvlJc w:val="right"/>
      <w:pPr>
        <w:ind w:left="7255" w:hanging="180"/>
      </w:pPr>
    </w:lvl>
  </w:abstractNum>
  <w:abstractNum w:abstractNumId="30">
    <w:nsid w:val="6A3F521A"/>
    <w:multiLevelType w:val="multilevel"/>
    <w:tmpl w:val="D65E7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B3938E6"/>
    <w:multiLevelType w:val="hybridMultilevel"/>
    <w:tmpl w:val="5F060210"/>
    <w:lvl w:ilvl="0" w:tplc="040C0011">
      <w:start w:val="1"/>
      <w:numFmt w:val="decimal"/>
      <w:lvlText w:val="%1)"/>
      <w:lvlJc w:val="left"/>
      <w:pPr>
        <w:ind w:left="1495" w:hanging="360"/>
      </w:pPr>
      <w:rPr>
        <w:rFonts w:hint="default"/>
      </w:rPr>
    </w:lvl>
    <w:lvl w:ilvl="1" w:tplc="040C0019" w:tentative="1">
      <w:start w:val="1"/>
      <w:numFmt w:val="lowerLetter"/>
      <w:lvlText w:val="%2."/>
      <w:lvlJc w:val="left"/>
      <w:pPr>
        <w:ind w:left="2215" w:hanging="360"/>
      </w:pPr>
    </w:lvl>
    <w:lvl w:ilvl="2" w:tplc="040C001B" w:tentative="1">
      <w:start w:val="1"/>
      <w:numFmt w:val="lowerRoman"/>
      <w:lvlText w:val="%3."/>
      <w:lvlJc w:val="right"/>
      <w:pPr>
        <w:ind w:left="2935" w:hanging="180"/>
      </w:pPr>
    </w:lvl>
    <w:lvl w:ilvl="3" w:tplc="040C000F" w:tentative="1">
      <w:start w:val="1"/>
      <w:numFmt w:val="decimal"/>
      <w:lvlText w:val="%4."/>
      <w:lvlJc w:val="left"/>
      <w:pPr>
        <w:ind w:left="3655" w:hanging="360"/>
      </w:pPr>
    </w:lvl>
    <w:lvl w:ilvl="4" w:tplc="040C0019" w:tentative="1">
      <w:start w:val="1"/>
      <w:numFmt w:val="lowerLetter"/>
      <w:lvlText w:val="%5."/>
      <w:lvlJc w:val="left"/>
      <w:pPr>
        <w:ind w:left="4375" w:hanging="360"/>
      </w:pPr>
    </w:lvl>
    <w:lvl w:ilvl="5" w:tplc="040C001B" w:tentative="1">
      <w:start w:val="1"/>
      <w:numFmt w:val="lowerRoman"/>
      <w:lvlText w:val="%6."/>
      <w:lvlJc w:val="right"/>
      <w:pPr>
        <w:ind w:left="5095" w:hanging="180"/>
      </w:pPr>
    </w:lvl>
    <w:lvl w:ilvl="6" w:tplc="040C000F" w:tentative="1">
      <w:start w:val="1"/>
      <w:numFmt w:val="decimal"/>
      <w:lvlText w:val="%7."/>
      <w:lvlJc w:val="left"/>
      <w:pPr>
        <w:ind w:left="5815" w:hanging="360"/>
      </w:pPr>
    </w:lvl>
    <w:lvl w:ilvl="7" w:tplc="040C0019" w:tentative="1">
      <w:start w:val="1"/>
      <w:numFmt w:val="lowerLetter"/>
      <w:lvlText w:val="%8."/>
      <w:lvlJc w:val="left"/>
      <w:pPr>
        <w:ind w:left="6535" w:hanging="360"/>
      </w:pPr>
    </w:lvl>
    <w:lvl w:ilvl="8" w:tplc="040C001B" w:tentative="1">
      <w:start w:val="1"/>
      <w:numFmt w:val="lowerRoman"/>
      <w:lvlText w:val="%9."/>
      <w:lvlJc w:val="right"/>
      <w:pPr>
        <w:ind w:left="7255" w:hanging="180"/>
      </w:pPr>
    </w:lvl>
  </w:abstractNum>
  <w:abstractNum w:abstractNumId="32">
    <w:nsid w:val="6BD52B8C"/>
    <w:multiLevelType w:val="hybridMultilevel"/>
    <w:tmpl w:val="1E9A6C9E"/>
    <w:lvl w:ilvl="0" w:tplc="EF403490">
      <w:start w:val="3"/>
      <w:numFmt w:val="decimal"/>
      <w:lvlText w:val="%1)"/>
      <w:lvlJc w:val="left"/>
      <w:pPr>
        <w:ind w:left="149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nsid w:val="6CF252C6"/>
    <w:multiLevelType w:val="hybridMultilevel"/>
    <w:tmpl w:val="9E16239C"/>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nsid w:val="6F5149E1"/>
    <w:multiLevelType w:val="hybridMultilevel"/>
    <w:tmpl w:val="0F40567E"/>
    <w:lvl w:ilvl="0" w:tplc="89AE5736">
      <w:start w:val="1"/>
      <w:numFmt w:val="upperLetter"/>
      <w:lvlText w:val="%1)"/>
      <w:lvlJc w:val="left"/>
      <w:pPr>
        <w:ind w:left="765" w:hanging="4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nsid w:val="74483245"/>
    <w:multiLevelType w:val="hybridMultilevel"/>
    <w:tmpl w:val="6C767502"/>
    <w:lvl w:ilvl="0" w:tplc="040C0011">
      <w:start w:val="1"/>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36">
    <w:nsid w:val="76195D34"/>
    <w:multiLevelType w:val="hybridMultilevel"/>
    <w:tmpl w:val="BA82BB4E"/>
    <w:lvl w:ilvl="0" w:tplc="040C0017">
      <w:start w:val="1"/>
      <w:numFmt w:val="lowerLetter"/>
      <w:lvlText w:val="%1)"/>
      <w:lvlJc w:val="left"/>
      <w:pPr>
        <w:ind w:left="1920" w:hanging="360"/>
      </w:pPr>
      <w:rPr>
        <w:rFonts w:hint="default"/>
      </w:rPr>
    </w:lvl>
    <w:lvl w:ilvl="1" w:tplc="040C0019" w:tentative="1">
      <w:start w:val="1"/>
      <w:numFmt w:val="lowerLetter"/>
      <w:lvlText w:val="%2."/>
      <w:lvlJc w:val="left"/>
      <w:pPr>
        <w:ind w:left="2640" w:hanging="360"/>
      </w:pPr>
    </w:lvl>
    <w:lvl w:ilvl="2" w:tplc="040C001B" w:tentative="1">
      <w:start w:val="1"/>
      <w:numFmt w:val="lowerRoman"/>
      <w:lvlText w:val="%3."/>
      <w:lvlJc w:val="right"/>
      <w:pPr>
        <w:ind w:left="3360" w:hanging="180"/>
      </w:pPr>
    </w:lvl>
    <w:lvl w:ilvl="3" w:tplc="040C000F" w:tentative="1">
      <w:start w:val="1"/>
      <w:numFmt w:val="decimal"/>
      <w:lvlText w:val="%4."/>
      <w:lvlJc w:val="left"/>
      <w:pPr>
        <w:ind w:left="4080" w:hanging="360"/>
      </w:pPr>
    </w:lvl>
    <w:lvl w:ilvl="4" w:tplc="040C0019" w:tentative="1">
      <w:start w:val="1"/>
      <w:numFmt w:val="lowerLetter"/>
      <w:lvlText w:val="%5."/>
      <w:lvlJc w:val="left"/>
      <w:pPr>
        <w:ind w:left="4800" w:hanging="360"/>
      </w:pPr>
    </w:lvl>
    <w:lvl w:ilvl="5" w:tplc="040C001B" w:tentative="1">
      <w:start w:val="1"/>
      <w:numFmt w:val="lowerRoman"/>
      <w:lvlText w:val="%6."/>
      <w:lvlJc w:val="right"/>
      <w:pPr>
        <w:ind w:left="5520" w:hanging="180"/>
      </w:pPr>
    </w:lvl>
    <w:lvl w:ilvl="6" w:tplc="040C000F" w:tentative="1">
      <w:start w:val="1"/>
      <w:numFmt w:val="decimal"/>
      <w:lvlText w:val="%7."/>
      <w:lvlJc w:val="left"/>
      <w:pPr>
        <w:ind w:left="6240" w:hanging="360"/>
      </w:pPr>
    </w:lvl>
    <w:lvl w:ilvl="7" w:tplc="040C0019" w:tentative="1">
      <w:start w:val="1"/>
      <w:numFmt w:val="lowerLetter"/>
      <w:lvlText w:val="%8."/>
      <w:lvlJc w:val="left"/>
      <w:pPr>
        <w:ind w:left="6960" w:hanging="360"/>
      </w:pPr>
    </w:lvl>
    <w:lvl w:ilvl="8" w:tplc="040C001B" w:tentative="1">
      <w:start w:val="1"/>
      <w:numFmt w:val="lowerRoman"/>
      <w:lvlText w:val="%9."/>
      <w:lvlJc w:val="right"/>
      <w:pPr>
        <w:ind w:left="7680" w:hanging="180"/>
      </w:pPr>
    </w:lvl>
  </w:abstractNum>
  <w:abstractNum w:abstractNumId="37">
    <w:nsid w:val="7AF90232"/>
    <w:multiLevelType w:val="hybridMultilevel"/>
    <w:tmpl w:val="B68CB6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0"/>
  </w:num>
  <w:num w:numId="2">
    <w:abstractNumId w:val="16"/>
  </w:num>
  <w:num w:numId="3">
    <w:abstractNumId w:val="6"/>
  </w:num>
  <w:num w:numId="4">
    <w:abstractNumId w:val="19"/>
  </w:num>
  <w:num w:numId="5">
    <w:abstractNumId w:val="3"/>
  </w:num>
  <w:num w:numId="6">
    <w:abstractNumId w:val="14"/>
  </w:num>
  <w:num w:numId="7">
    <w:abstractNumId w:val="21"/>
  </w:num>
  <w:num w:numId="8">
    <w:abstractNumId w:val="33"/>
  </w:num>
  <w:num w:numId="9">
    <w:abstractNumId w:val="32"/>
  </w:num>
  <w:num w:numId="10">
    <w:abstractNumId w:val="12"/>
  </w:num>
  <w:num w:numId="11">
    <w:abstractNumId w:val="10"/>
  </w:num>
  <w:num w:numId="12">
    <w:abstractNumId w:val="8"/>
  </w:num>
  <w:num w:numId="13">
    <w:abstractNumId w:val="24"/>
  </w:num>
  <w:num w:numId="14">
    <w:abstractNumId w:val="5"/>
  </w:num>
  <w:num w:numId="15">
    <w:abstractNumId w:val="15"/>
  </w:num>
  <w:num w:numId="16">
    <w:abstractNumId w:val="18"/>
  </w:num>
  <w:num w:numId="17">
    <w:abstractNumId w:val="29"/>
  </w:num>
  <w:num w:numId="18">
    <w:abstractNumId w:val="26"/>
  </w:num>
  <w:num w:numId="19">
    <w:abstractNumId w:val="17"/>
  </w:num>
  <w:num w:numId="20">
    <w:abstractNumId w:val="9"/>
  </w:num>
  <w:num w:numId="21">
    <w:abstractNumId w:val="28"/>
  </w:num>
  <w:num w:numId="22">
    <w:abstractNumId w:val="2"/>
  </w:num>
  <w:num w:numId="23">
    <w:abstractNumId w:val="36"/>
  </w:num>
  <w:num w:numId="24">
    <w:abstractNumId w:val="25"/>
  </w:num>
  <w:num w:numId="25">
    <w:abstractNumId w:val="27"/>
  </w:num>
  <w:num w:numId="26">
    <w:abstractNumId w:val="0"/>
  </w:num>
  <w:num w:numId="27">
    <w:abstractNumId w:val="13"/>
  </w:num>
  <w:num w:numId="28">
    <w:abstractNumId w:val="1"/>
  </w:num>
  <w:num w:numId="29">
    <w:abstractNumId w:val="30"/>
  </w:num>
  <w:num w:numId="30">
    <w:abstractNumId w:val="23"/>
  </w:num>
  <w:num w:numId="31">
    <w:abstractNumId w:val="22"/>
  </w:num>
  <w:num w:numId="32">
    <w:abstractNumId w:val="7"/>
  </w:num>
  <w:num w:numId="33">
    <w:abstractNumId w:val="31"/>
  </w:num>
  <w:num w:numId="34">
    <w:abstractNumId w:val="34"/>
  </w:num>
  <w:num w:numId="35">
    <w:abstractNumId w:val="35"/>
  </w:num>
  <w:num w:numId="36">
    <w:abstractNumId w:val="37"/>
  </w:num>
  <w:num w:numId="37">
    <w:abstractNumId w:val="4"/>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832"/>
    <w:rsid w:val="0003585A"/>
    <w:rsid w:val="00044373"/>
    <w:rsid w:val="00047050"/>
    <w:rsid w:val="000530CF"/>
    <w:rsid w:val="00057A72"/>
    <w:rsid w:val="00075960"/>
    <w:rsid w:val="00086290"/>
    <w:rsid w:val="000F168A"/>
    <w:rsid w:val="001347AE"/>
    <w:rsid w:val="001475B3"/>
    <w:rsid w:val="001B3702"/>
    <w:rsid w:val="001D0B4D"/>
    <w:rsid w:val="00210F66"/>
    <w:rsid w:val="00260758"/>
    <w:rsid w:val="00266E4E"/>
    <w:rsid w:val="00280AEB"/>
    <w:rsid w:val="00290AD8"/>
    <w:rsid w:val="00296D4D"/>
    <w:rsid w:val="002B2428"/>
    <w:rsid w:val="002C599A"/>
    <w:rsid w:val="002E41E8"/>
    <w:rsid w:val="00335526"/>
    <w:rsid w:val="0036023E"/>
    <w:rsid w:val="00362832"/>
    <w:rsid w:val="003827D3"/>
    <w:rsid w:val="0038431D"/>
    <w:rsid w:val="00387AB9"/>
    <w:rsid w:val="003972D5"/>
    <w:rsid w:val="003B36D6"/>
    <w:rsid w:val="003C73B0"/>
    <w:rsid w:val="003E099F"/>
    <w:rsid w:val="00401246"/>
    <w:rsid w:val="004032F6"/>
    <w:rsid w:val="00473B3E"/>
    <w:rsid w:val="004C591E"/>
    <w:rsid w:val="005102C2"/>
    <w:rsid w:val="00570D28"/>
    <w:rsid w:val="005F07C6"/>
    <w:rsid w:val="005F1442"/>
    <w:rsid w:val="005F70C5"/>
    <w:rsid w:val="00623EC8"/>
    <w:rsid w:val="00634DEA"/>
    <w:rsid w:val="0067599E"/>
    <w:rsid w:val="00681A4B"/>
    <w:rsid w:val="006C506B"/>
    <w:rsid w:val="006D2601"/>
    <w:rsid w:val="007412BF"/>
    <w:rsid w:val="0075232F"/>
    <w:rsid w:val="00765F6C"/>
    <w:rsid w:val="007B6759"/>
    <w:rsid w:val="007C1152"/>
    <w:rsid w:val="007C5313"/>
    <w:rsid w:val="007D7DF9"/>
    <w:rsid w:val="007E2863"/>
    <w:rsid w:val="008519DB"/>
    <w:rsid w:val="00851D6F"/>
    <w:rsid w:val="008540D4"/>
    <w:rsid w:val="00896F11"/>
    <w:rsid w:val="008C048A"/>
    <w:rsid w:val="008F13CD"/>
    <w:rsid w:val="008F1755"/>
    <w:rsid w:val="00934B59"/>
    <w:rsid w:val="00941FC9"/>
    <w:rsid w:val="00945DE9"/>
    <w:rsid w:val="009639B9"/>
    <w:rsid w:val="00A02303"/>
    <w:rsid w:val="00A13943"/>
    <w:rsid w:val="00A17248"/>
    <w:rsid w:val="00A31D6B"/>
    <w:rsid w:val="00A3753B"/>
    <w:rsid w:val="00A53450"/>
    <w:rsid w:val="00A74233"/>
    <w:rsid w:val="00AB0E65"/>
    <w:rsid w:val="00AB7B86"/>
    <w:rsid w:val="00AC7071"/>
    <w:rsid w:val="00AD2ED1"/>
    <w:rsid w:val="00AE5A45"/>
    <w:rsid w:val="00AF164B"/>
    <w:rsid w:val="00B1595E"/>
    <w:rsid w:val="00B61315"/>
    <w:rsid w:val="00B66442"/>
    <w:rsid w:val="00B7547D"/>
    <w:rsid w:val="00B75B9A"/>
    <w:rsid w:val="00BA5FF5"/>
    <w:rsid w:val="00BB7E93"/>
    <w:rsid w:val="00BD0E2C"/>
    <w:rsid w:val="00BD7816"/>
    <w:rsid w:val="00BF1EA6"/>
    <w:rsid w:val="00BF42B3"/>
    <w:rsid w:val="00C0686A"/>
    <w:rsid w:val="00C219AD"/>
    <w:rsid w:val="00C337FD"/>
    <w:rsid w:val="00C520F1"/>
    <w:rsid w:val="00C5440F"/>
    <w:rsid w:val="00C61F65"/>
    <w:rsid w:val="00C86F6D"/>
    <w:rsid w:val="00CA7218"/>
    <w:rsid w:val="00CE1E16"/>
    <w:rsid w:val="00CE7AEF"/>
    <w:rsid w:val="00D12517"/>
    <w:rsid w:val="00D1268B"/>
    <w:rsid w:val="00D34B3D"/>
    <w:rsid w:val="00D41A9F"/>
    <w:rsid w:val="00D444FC"/>
    <w:rsid w:val="00D57BEC"/>
    <w:rsid w:val="00E00468"/>
    <w:rsid w:val="00E2063B"/>
    <w:rsid w:val="00E276E0"/>
    <w:rsid w:val="00E462E5"/>
    <w:rsid w:val="00E80ADA"/>
    <w:rsid w:val="00E824C5"/>
    <w:rsid w:val="00E91E99"/>
    <w:rsid w:val="00EA1E85"/>
    <w:rsid w:val="00F04D37"/>
    <w:rsid w:val="00F2023C"/>
    <w:rsid w:val="00F265BC"/>
    <w:rsid w:val="00F418BD"/>
    <w:rsid w:val="00F57C55"/>
    <w:rsid w:val="00F6352E"/>
    <w:rsid w:val="00F66B30"/>
    <w:rsid w:val="00FC19B9"/>
    <w:rsid w:val="00FC6889"/>
    <w:rsid w:val="00FE4A93"/>
    <w:rsid w:val="00FE6762"/>
    <w:rsid w:val="00FF7BF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odytext">
    <w:name w:val="bodytext"/>
    <w:basedOn w:val="Normal"/>
    <w:rsid w:val="00CA7218"/>
    <w:pPr>
      <w:spacing w:before="100" w:beforeAutospacing="1" w:after="100" w:afterAutospacing="1" w:line="240" w:lineRule="auto"/>
    </w:pPr>
    <w:rPr>
      <w:rFonts w:ascii="Times New Roman" w:eastAsia="Times New Roman" w:hAnsi="Times New Roman" w:cs="Times New Roman"/>
      <w:sz w:val="24"/>
      <w:szCs w:val="24"/>
    </w:rPr>
  </w:style>
  <w:style w:type="paragraph" w:styleId="En-tte">
    <w:name w:val="header"/>
    <w:basedOn w:val="Normal"/>
    <w:link w:val="En-tteCar"/>
    <w:uiPriority w:val="99"/>
    <w:unhideWhenUsed/>
    <w:rsid w:val="00CA7218"/>
    <w:pPr>
      <w:tabs>
        <w:tab w:val="center" w:pos="4536"/>
        <w:tab w:val="right" w:pos="9072"/>
      </w:tabs>
      <w:spacing w:after="0" w:line="240" w:lineRule="auto"/>
      <w:jc w:val="both"/>
    </w:pPr>
    <w:rPr>
      <w:rFonts w:ascii="Arial" w:eastAsiaTheme="minorHAnsi" w:hAnsi="Arial"/>
      <w:sz w:val="24"/>
      <w:lang w:eastAsia="en-US"/>
    </w:rPr>
  </w:style>
  <w:style w:type="character" w:customStyle="1" w:styleId="En-tteCar">
    <w:name w:val="En-tête Car"/>
    <w:basedOn w:val="Policepardfaut"/>
    <w:link w:val="En-tte"/>
    <w:uiPriority w:val="99"/>
    <w:rsid w:val="00CA7218"/>
    <w:rPr>
      <w:rFonts w:ascii="Arial" w:eastAsiaTheme="minorHAnsi" w:hAnsi="Arial"/>
      <w:sz w:val="24"/>
      <w:lang w:eastAsia="en-US"/>
    </w:rPr>
  </w:style>
  <w:style w:type="paragraph" w:styleId="Pieddepage">
    <w:name w:val="footer"/>
    <w:basedOn w:val="Normal"/>
    <w:link w:val="PieddepageCar"/>
    <w:unhideWhenUsed/>
    <w:rsid w:val="00CA7218"/>
    <w:pPr>
      <w:tabs>
        <w:tab w:val="center" w:pos="4536"/>
        <w:tab w:val="right" w:pos="9072"/>
      </w:tabs>
      <w:spacing w:after="0" w:line="240" w:lineRule="auto"/>
      <w:jc w:val="both"/>
    </w:pPr>
    <w:rPr>
      <w:rFonts w:ascii="Arial" w:eastAsiaTheme="minorHAnsi" w:hAnsi="Arial"/>
      <w:sz w:val="24"/>
      <w:lang w:eastAsia="en-US"/>
    </w:rPr>
  </w:style>
  <w:style w:type="character" w:customStyle="1" w:styleId="PieddepageCar">
    <w:name w:val="Pied de page Car"/>
    <w:basedOn w:val="Policepardfaut"/>
    <w:link w:val="Pieddepage"/>
    <w:rsid w:val="00CA7218"/>
    <w:rPr>
      <w:rFonts w:ascii="Arial" w:eastAsiaTheme="minorHAnsi" w:hAnsi="Arial"/>
      <w:sz w:val="24"/>
      <w:lang w:eastAsia="en-US"/>
    </w:rPr>
  </w:style>
  <w:style w:type="paragraph" w:styleId="Paragraphedeliste">
    <w:name w:val="List Paragraph"/>
    <w:basedOn w:val="Normal"/>
    <w:uiPriority w:val="34"/>
    <w:qFormat/>
    <w:rsid w:val="00BA5FF5"/>
    <w:pPr>
      <w:spacing w:after="240" w:line="480" w:lineRule="auto"/>
      <w:ind w:left="720" w:firstLine="360"/>
      <w:contextualSpacing/>
    </w:pPr>
    <w:rPr>
      <w:rFonts w:eastAsiaTheme="minorHAnsi"/>
      <w:lang w:eastAsia="en-US" w:bidi="en-US"/>
    </w:rPr>
  </w:style>
  <w:style w:type="paragraph" w:customStyle="1" w:styleId="dmodeles-petite-loiconfectiontexteloitexte">
    <w:name w:val="dmodeles-petite-loiconfectiontexteloitexte"/>
    <w:basedOn w:val="Normal"/>
    <w:rsid w:val="00BA5FF5"/>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0530CF"/>
    <w:pPr>
      <w:spacing w:before="100" w:beforeAutospacing="1" w:after="100" w:afterAutospacing="1" w:line="240" w:lineRule="auto"/>
    </w:pPr>
    <w:rPr>
      <w:rFonts w:ascii="Times New Roman" w:eastAsia="Times New Roman" w:hAnsi="Times New Roman" w:cs="Times New Roman"/>
      <w:sz w:val="24"/>
      <w:szCs w:val="24"/>
    </w:rPr>
  </w:style>
  <w:style w:type="character" w:styleId="Lienhypertexte">
    <w:name w:val="Hyperlink"/>
    <w:basedOn w:val="Policepardfaut"/>
    <w:uiPriority w:val="99"/>
    <w:semiHidden/>
    <w:unhideWhenUsed/>
    <w:rsid w:val="000530CF"/>
    <w:rPr>
      <w:color w:val="0000FF"/>
      <w:u w:val="single"/>
    </w:rPr>
  </w:style>
  <w:style w:type="character" w:styleId="Accentuation">
    <w:name w:val="Emphasis"/>
    <w:basedOn w:val="Policepardfaut"/>
    <w:uiPriority w:val="20"/>
    <w:qFormat/>
    <w:rsid w:val="00A31D6B"/>
    <w:rPr>
      <w:i/>
      <w:iCs/>
    </w:rPr>
  </w:style>
  <w:style w:type="character" w:styleId="lev">
    <w:name w:val="Strong"/>
    <w:basedOn w:val="Policepardfaut"/>
    <w:uiPriority w:val="22"/>
    <w:qFormat/>
    <w:rsid w:val="00A31D6B"/>
    <w:rPr>
      <w:b/>
      <w:bCs/>
    </w:rPr>
  </w:style>
  <w:style w:type="paragraph" w:customStyle="1" w:styleId="align-justify">
    <w:name w:val="align-justify"/>
    <w:basedOn w:val="Normal"/>
    <w:rsid w:val="00A3753B"/>
    <w:pPr>
      <w:spacing w:before="100" w:beforeAutospacing="1" w:after="100" w:afterAutospacing="1" w:line="240" w:lineRule="auto"/>
    </w:pPr>
    <w:rPr>
      <w:rFonts w:ascii="Times New Roman" w:eastAsia="Times New Roman" w:hAnsi="Times New Roman" w:cs="Times New Roman"/>
      <w:sz w:val="24"/>
      <w:szCs w:val="24"/>
    </w:rPr>
  </w:style>
  <w:style w:type="character" w:styleId="Lienhypertextesuivivisit">
    <w:name w:val="FollowedHyperlink"/>
    <w:basedOn w:val="Policepardfaut"/>
    <w:uiPriority w:val="99"/>
    <w:semiHidden/>
    <w:unhideWhenUsed/>
    <w:rsid w:val="00C219AD"/>
    <w:rPr>
      <w:color w:val="800080" w:themeColor="followedHyperlink"/>
      <w:u w:val="single"/>
    </w:rPr>
  </w:style>
  <w:style w:type="paragraph" w:customStyle="1" w:styleId="dmodeles-petite-loiconfectiontexte4titrenum">
    <w:name w:val="dmodeles-petite-loiconfectiontexte4titrenum"/>
    <w:basedOn w:val="Normal"/>
    <w:rsid w:val="007C11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asse4titreintit">
    <w:name w:val="classe_4titreintit"/>
    <w:basedOn w:val="Normal"/>
    <w:rsid w:val="007C11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modeles-petite-loiconfectiontexte5chapitrenum">
    <w:name w:val="dmodeles-petite-loiconfectiontexte5chapitrenum"/>
    <w:basedOn w:val="Normal"/>
    <w:rsid w:val="00C337F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asse5chapitreintit">
    <w:name w:val="classe_5chapitreintit"/>
    <w:basedOn w:val="Normal"/>
    <w:rsid w:val="00C337FD"/>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odytext">
    <w:name w:val="bodytext"/>
    <w:basedOn w:val="Normal"/>
    <w:rsid w:val="00CA7218"/>
    <w:pPr>
      <w:spacing w:before="100" w:beforeAutospacing="1" w:after="100" w:afterAutospacing="1" w:line="240" w:lineRule="auto"/>
    </w:pPr>
    <w:rPr>
      <w:rFonts w:ascii="Times New Roman" w:eastAsia="Times New Roman" w:hAnsi="Times New Roman" w:cs="Times New Roman"/>
      <w:sz w:val="24"/>
      <w:szCs w:val="24"/>
    </w:rPr>
  </w:style>
  <w:style w:type="paragraph" w:styleId="En-tte">
    <w:name w:val="header"/>
    <w:basedOn w:val="Normal"/>
    <w:link w:val="En-tteCar"/>
    <w:uiPriority w:val="99"/>
    <w:unhideWhenUsed/>
    <w:rsid w:val="00CA7218"/>
    <w:pPr>
      <w:tabs>
        <w:tab w:val="center" w:pos="4536"/>
        <w:tab w:val="right" w:pos="9072"/>
      </w:tabs>
      <w:spacing w:after="0" w:line="240" w:lineRule="auto"/>
      <w:jc w:val="both"/>
    </w:pPr>
    <w:rPr>
      <w:rFonts w:ascii="Arial" w:eastAsiaTheme="minorHAnsi" w:hAnsi="Arial"/>
      <w:sz w:val="24"/>
      <w:lang w:eastAsia="en-US"/>
    </w:rPr>
  </w:style>
  <w:style w:type="character" w:customStyle="1" w:styleId="En-tteCar">
    <w:name w:val="En-tête Car"/>
    <w:basedOn w:val="Policepardfaut"/>
    <w:link w:val="En-tte"/>
    <w:uiPriority w:val="99"/>
    <w:rsid w:val="00CA7218"/>
    <w:rPr>
      <w:rFonts w:ascii="Arial" w:eastAsiaTheme="minorHAnsi" w:hAnsi="Arial"/>
      <w:sz w:val="24"/>
      <w:lang w:eastAsia="en-US"/>
    </w:rPr>
  </w:style>
  <w:style w:type="paragraph" w:styleId="Pieddepage">
    <w:name w:val="footer"/>
    <w:basedOn w:val="Normal"/>
    <w:link w:val="PieddepageCar"/>
    <w:unhideWhenUsed/>
    <w:rsid w:val="00CA7218"/>
    <w:pPr>
      <w:tabs>
        <w:tab w:val="center" w:pos="4536"/>
        <w:tab w:val="right" w:pos="9072"/>
      </w:tabs>
      <w:spacing w:after="0" w:line="240" w:lineRule="auto"/>
      <w:jc w:val="both"/>
    </w:pPr>
    <w:rPr>
      <w:rFonts w:ascii="Arial" w:eastAsiaTheme="minorHAnsi" w:hAnsi="Arial"/>
      <w:sz w:val="24"/>
      <w:lang w:eastAsia="en-US"/>
    </w:rPr>
  </w:style>
  <w:style w:type="character" w:customStyle="1" w:styleId="PieddepageCar">
    <w:name w:val="Pied de page Car"/>
    <w:basedOn w:val="Policepardfaut"/>
    <w:link w:val="Pieddepage"/>
    <w:rsid w:val="00CA7218"/>
    <w:rPr>
      <w:rFonts w:ascii="Arial" w:eastAsiaTheme="minorHAnsi" w:hAnsi="Arial"/>
      <w:sz w:val="24"/>
      <w:lang w:eastAsia="en-US"/>
    </w:rPr>
  </w:style>
  <w:style w:type="paragraph" w:styleId="Paragraphedeliste">
    <w:name w:val="List Paragraph"/>
    <w:basedOn w:val="Normal"/>
    <w:uiPriority w:val="34"/>
    <w:qFormat/>
    <w:rsid w:val="00BA5FF5"/>
    <w:pPr>
      <w:spacing w:after="240" w:line="480" w:lineRule="auto"/>
      <w:ind w:left="720" w:firstLine="360"/>
      <w:contextualSpacing/>
    </w:pPr>
    <w:rPr>
      <w:rFonts w:eastAsiaTheme="minorHAnsi"/>
      <w:lang w:eastAsia="en-US" w:bidi="en-US"/>
    </w:rPr>
  </w:style>
  <w:style w:type="paragraph" w:customStyle="1" w:styleId="dmodeles-petite-loiconfectiontexteloitexte">
    <w:name w:val="dmodeles-petite-loiconfectiontexteloitexte"/>
    <w:basedOn w:val="Normal"/>
    <w:rsid w:val="00BA5FF5"/>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0530CF"/>
    <w:pPr>
      <w:spacing w:before="100" w:beforeAutospacing="1" w:after="100" w:afterAutospacing="1" w:line="240" w:lineRule="auto"/>
    </w:pPr>
    <w:rPr>
      <w:rFonts w:ascii="Times New Roman" w:eastAsia="Times New Roman" w:hAnsi="Times New Roman" w:cs="Times New Roman"/>
      <w:sz w:val="24"/>
      <w:szCs w:val="24"/>
    </w:rPr>
  </w:style>
  <w:style w:type="character" w:styleId="Lienhypertexte">
    <w:name w:val="Hyperlink"/>
    <w:basedOn w:val="Policepardfaut"/>
    <w:uiPriority w:val="99"/>
    <w:semiHidden/>
    <w:unhideWhenUsed/>
    <w:rsid w:val="000530CF"/>
    <w:rPr>
      <w:color w:val="0000FF"/>
      <w:u w:val="single"/>
    </w:rPr>
  </w:style>
  <w:style w:type="character" w:styleId="Accentuation">
    <w:name w:val="Emphasis"/>
    <w:basedOn w:val="Policepardfaut"/>
    <w:uiPriority w:val="20"/>
    <w:qFormat/>
    <w:rsid w:val="00A31D6B"/>
    <w:rPr>
      <w:i/>
      <w:iCs/>
    </w:rPr>
  </w:style>
  <w:style w:type="character" w:styleId="lev">
    <w:name w:val="Strong"/>
    <w:basedOn w:val="Policepardfaut"/>
    <w:uiPriority w:val="22"/>
    <w:qFormat/>
    <w:rsid w:val="00A31D6B"/>
    <w:rPr>
      <w:b/>
      <w:bCs/>
    </w:rPr>
  </w:style>
  <w:style w:type="paragraph" w:customStyle="1" w:styleId="align-justify">
    <w:name w:val="align-justify"/>
    <w:basedOn w:val="Normal"/>
    <w:rsid w:val="00A3753B"/>
    <w:pPr>
      <w:spacing w:before="100" w:beforeAutospacing="1" w:after="100" w:afterAutospacing="1" w:line="240" w:lineRule="auto"/>
    </w:pPr>
    <w:rPr>
      <w:rFonts w:ascii="Times New Roman" w:eastAsia="Times New Roman" w:hAnsi="Times New Roman" w:cs="Times New Roman"/>
      <w:sz w:val="24"/>
      <w:szCs w:val="24"/>
    </w:rPr>
  </w:style>
  <w:style w:type="character" w:styleId="Lienhypertextesuivivisit">
    <w:name w:val="FollowedHyperlink"/>
    <w:basedOn w:val="Policepardfaut"/>
    <w:uiPriority w:val="99"/>
    <w:semiHidden/>
    <w:unhideWhenUsed/>
    <w:rsid w:val="00C219AD"/>
    <w:rPr>
      <w:color w:val="800080" w:themeColor="followedHyperlink"/>
      <w:u w:val="single"/>
    </w:rPr>
  </w:style>
  <w:style w:type="paragraph" w:customStyle="1" w:styleId="dmodeles-petite-loiconfectiontexte4titrenum">
    <w:name w:val="dmodeles-petite-loiconfectiontexte4titrenum"/>
    <w:basedOn w:val="Normal"/>
    <w:rsid w:val="007C11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asse4titreintit">
    <w:name w:val="classe_4titreintit"/>
    <w:basedOn w:val="Normal"/>
    <w:rsid w:val="007C11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modeles-petite-loiconfectiontexte5chapitrenum">
    <w:name w:val="dmodeles-petite-loiconfectiontexte5chapitrenum"/>
    <w:basedOn w:val="Normal"/>
    <w:rsid w:val="00C337F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asse5chapitreintit">
    <w:name w:val="classe_5chapitreintit"/>
    <w:basedOn w:val="Normal"/>
    <w:rsid w:val="00C337F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023362">
      <w:bodyDiv w:val="1"/>
      <w:marLeft w:val="0"/>
      <w:marRight w:val="0"/>
      <w:marTop w:val="0"/>
      <w:marBottom w:val="0"/>
      <w:divBdr>
        <w:top w:val="none" w:sz="0" w:space="0" w:color="auto"/>
        <w:left w:val="none" w:sz="0" w:space="0" w:color="auto"/>
        <w:bottom w:val="none" w:sz="0" w:space="0" w:color="auto"/>
        <w:right w:val="none" w:sz="0" w:space="0" w:color="auto"/>
      </w:divBdr>
    </w:div>
    <w:div w:id="193424415">
      <w:bodyDiv w:val="1"/>
      <w:marLeft w:val="0"/>
      <w:marRight w:val="0"/>
      <w:marTop w:val="0"/>
      <w:marBottom w:val="0"/>
      <w:divBdr>
        <w:top w:val="none" w:sz="0" w:space="0" w:color="auto"/>
        <w:left w:val="none" w:sz="0" w:space="0" w:color="auto"/>
        <w:bottom w:val="none" w:sz="0" w:space="0" w:color="auto"/>
        <w:right w:val="none" w:sz="0" w:space="0" w:color="auto"/>
      </w:divBdr>
      <w:divsChild>
        <w:div w:id="612859082">
          <w:marLeft w:val="0"/>
          <w:marRight w:val="0"/>
          <w:marTop w:val="0"/>
          <w:marBottom w:val="0"/>
          <w:divBdr>
            <w:top w:val="none" w:sz="0" w:space="0" w:color="auto"/>
            <w:left w:val="none" w:sz="0" w:space="0" w:color="auto"/>
            <w:bottom w:val="none" w:sz="0" w:space="0" w:color="auto"/>
            <w:right w:val="none" w:sz="0" w:space="0" w:color="auto"/>
          </w:divBdr>
        </w:div>
      </w:divsChild>
    </w:div>
    <w:div w:id="404453561">
      <w:bodyDiv w:val="1"/>
      <w:marLeft w:val="0"/>
      <w:marRight w:val="0"/>
      <w:marTop w:val="0"/>
      <w:marBottom w:val="0"/>
      <w:divBdr>
        <w:top w:val="none" w:sz="0" w:space="0" w:color="auto"/>
        <w:left w:val="none" w:sz="0" w:space="0" w:color="auto"/>
        <w:bottom w:val="none" w:sz="0" w:space="0" w:color="auto"/>
        <w:right w:val="none" w:sz="0" w:space="0" w:color="auto"/>
      </w:divBdr>
    </w:div>
    <w:div w:id="422072483">
      <w:bodyDiv w:val="1"/>
      <w:marLeft w:val="0"/>
      <w:marRight w:val="0"/>
      <w:marTop w:val="0"/>
      <w:marBottom w:val="0"/>
      <w:divBdr>
        <w:top w:val="none" w:sz="0" w:space="0" w:color="auto"/>
        <w:left w:val="none" w:sz="0" w:space="0" w:color="auto"/>
        <w:bottom w:val="none" w:sz="0" w:space="0" w:color="auto"/>
        <w:right w:val="none" w:sz="0" w:space="0" w:color="auto"/>
      </w:divBdr>
    </w:div>
    <w:div w:id="483551408">
      <w:bodyDiv w:val="1"/>
      <w:marLeft w:val="0"/>
      <w:marRight w:val="0"/>
      <w:marTop w:val="0"/>
      <w:marBottom w:val="0"/>
      <w:divBdr>
        <w:top w:val="none" w:sz="0" w:space="0" w:color="auto"/>
        <w:left w:val="none" w:sz="0" w:space="0" w:color="auto"/>
        <w:bottom w:val="none" w:sz="0" w:space="0" w:color="auto"/>
        <w:right w:val="none" w:sz="0" w:space="0" w:color="auto"/>
      </w:divBdr>
    </w:div>
    <w:div w:id="644626082">
      <w:bodyDiv w:val="1"/>
      <w:marLeft w:val="0"/>
      <w:marRight w:val="0"/>
      <w:marTop w:val="0"/>
      <w:marBottom w:val="0"/>
      <w:divBdr>
        <w:top w:val="none" w:sz="0" w:space="0" w:color="auto"/>
        <w:left w:val="none" w:sz="0" w:space="0" w:color="auto"/>
        <w:bottom w:val="none" w:sz="0" w:space="0" w:color="auto"/>
        <w:right w:val="none" w:sz="0" w:space="0" w:color="auto"/>
      </w:divBdr>
    </w:div>
    <w:div w:id="744450512">
      <w:bodyDiv w:val="1"/>
      <w:marLeft w:val="0"/>
      <w:marRight w:val="0"/>
      <w:marTop w:val="0"/>
      <w:marBottom w:val="0"/>
      <w:divBdr>
        <w:top w:val="none" w:sz="0" w:space="0" w:color="auto"/>
        <w:left w:val="none" w:sz="0" w:space="0" w:color="auto"/>
        <w:bottom w:val="none" w:sz="0" w:space="0" w:color="auto"/>
        <w:right w:val="none" w:sz="0" w:space="0" w:color="auto"/>
      </w:divBdr>
    </w:div>
    <w:div w:id="771165333">
      <w:bodyDiv w:val="1"/>
      <w:marLeft w:val="0"/>
      <w:marRight w:val="0"/>
      <w:marTop w:val="0"/>
      <w:marBottom w:val="0"/>
      <w:divBdr>
        <w:top w:val="none" w:sz="0" w:space="0" w:color="auto"/>
        <w:left w:val="none" w:sz="0" w:space="0" w:color="auto"/>
        <w:bottom w:val="none" w:sz="0" w:space="0" w:color="auto"/>
        <w:right w:val="none" w:sz="0" w:space="0" w:color="auto"/>
      </w:divBdr>
    </w:div>
    <w:div w:id="792209090">
      <w:bodyDiv w:val="1"/>
      <w:marLeft w:val="0"/>
      <w:marRight w:val="0"/>
      <w:marTop w:val="0"/>
      <w:marBottom w:val="0"/>
      <w:divBdr>
        <w:top w:val="none" w:sz="0" w:space="0" w:color="auto"/>
        <w:left w:val="none" w:sz="0" w:space="0" w:color="auto"/>
        <w:bottom w:val="none" w:sz="0" w:space="0" w:color="auto"/>
        <w:right w:val="none" w:sz="0" w:space="0" w:color="auto"/>
      </w:divBdr>
      <w:divsChild>
        <w:div w:id="1247767">
          <w:marLeft w:val="0"/>
          <w:marRight w:val="0"/>
          <w:marTop w:val="0"/>
          <w:marBottom w:val="0"/>
          <w:divBdr>
            <w:top w:val="none" w:sz="0" w:space="0" w:color="auto"/>
            <w:left w:val="none" w:sz="0" w:space="0" w:color="auto"/>
            <w:bottom w:val="none" w:sz="0" w:space="0" w:color="auto"/>
            <w:right w:val="none" w:sz="0" w:space="0" w:color="auto"/>
          </w:divBdr>
        </w:div>
      </w:divsChild>
    </w:div>
    <w:div w:id="829297228">
      <w:bodyDiv w:val="1"/>
      <w:marLeft w:val="0"/>
      <w:marRight w:val="0"/>
      <w:marTop w:val="0"/>
      <w:marBottom w:val="0"/>
      <w:divBdr>
        <w:top w:val="none" w:sz="0" w:space="0" w:color="auto"/>
        <w:left w:val="none" w:sz="0" w:space="0" w:color="auto"/>
        <w:bottom w:val="none" w:sz="0" w:space="0" w:color="auto"/>
        <w:right w:val="none" w:sz="0" w:space="0" w:color="auto"/>
      </w:divBdr>
    </w:div>
    <w:div w:id="1047684267">
      <w:bodyDiv w:val="1"/>
      <w:marLeft w:val="0"/>
      <w:marRight w:val="0"/>
      <w:marTop w:val="0"/>
      <w:marBottom w:val="0"/>
      <w:divBdr>
        <w:top w:val="none" w:sz="0" w:space="0" w:color="auto"/>
        <w:left w:val="none" w:sz="0" w:space="0" w:color="auto"/>
        <w:bottom w:val="none" w:sz="0" w:space="0" w:color="auto"/>
        <w:right w:val="none" w:sz="0" w:space="0" w:color="auto"/>
      </w:divBdr>
    </w:div>
    <w:div w:id="1150831518">
      <w:bodyDiv w:val="1"/>
      <w:marLeft w:val="0"/>
      <w:marRight w:val="0"/>
      <w:marTop w:val="0"/>
      <w:marBottom w:val="0"/>
      <w:divBdr>
        <w:top w:val="none" w:sz="0" w:space="0" w:color="auto"/>
        <w:left w:val="none" w:sz="0" w:space="0" w:color="auto"/>
        <w:bottom w:val="none" w:sz="0" w:space="0" w:color="auto"/>
        <w:right w:val="none" w:sz="0" w:space="0" w:color="auto"/>
      </w:divBdr>
    </w:div>
    <w:div w:id="1190293514">
      <w:bodyDiv w:val="1"/>
      <w:marLeft w:val="0"/>
      <w:marRight w:val="0"/>
      <w:marTop w:val="0"/>
      <w:marBottom w:val="0"/>
      <w:divBdr>
        <w:top w:val="none" w:sz="0" w:space="0" w:color="auto"/>
        <w:left w:val="none" w:sz="0" w:space="0" w:color="auto"/>
        <w:bottom w:val="none" w:sz="0" w:space="0" w:color="auto"/>
        <w:right w:val="none" w:sz="0" w:space="0" w:color="auto"/>
      </w:divBdr>
    </w:div>
    <w:div w:id="1240407156">
      <w:bodyDiv w:val="1"/>
      <w:marLeft w:val="0"/>
      <w:marRight w:val="0"/>
      <w:marTop w:val="0"/>
      <w:marBottom w:val="0"/>
      <w:divBdr>
        <w:top w:val="none" w:sz="0" w:space="0" w:color="auto"/>
        <w:left w:val="none" w:sz="0" w:space="0" w:color="auto"/>
        <w:bottom w:val="none" w:sz="0" w:space="0" w:color="auto"/>
        <w:right w:val="none" w:sz="0" w:space="0" w:color="auto"/>
      </w:divBdr>
    </w:div>
    <w:div w:id="1274362285">
      <w:bodyDiv w:val="1"/>
      <w:marLeft w:val="0"/>
      <w:marRight w:val="0"/>
      <w:marTop w:val="0"/>
      <w:marBottom w:val="0"/>
      <w:divBdr>
        <w:top w:val="none" w:sz="0" w:space="0" w:color="auto"/>
        <w:left w:val="none" w:sz="0" w:space="0" w:color="auto"/>
        <w:bottom w:val="none" w:sz="0" w:space="0" w:color="auto"/>
        <w:right w:val="none" w:sz="0" w:space="0" w:color="auto"/>
      </w:divBdr>
    </w:div>
    <w:div w:id="1275206941">
      <w:bodyDiv w:val="1"/>
      <w:marLeft w:val="0"/>
      <w:marRight w:val="0"/>
      <w:marTop w:val="0"/>
      <w:marBottom w:val="0"/>
      <w:divBdr>
        <w:top w:val="none" w:sz="0" w:space="0" w:color="auto"/>
        <w:left w:val="none" w:sz="0" w:space="0" w:color="auto"/>
        <w:bottom w:val="none" w:sz="0" w:space="0" w:color="auto"/>
        <w:right w:val="none" w:sz="0" w:space="0" w:color="auto"/>
      </w:divBdr>
    </w:div>
    <w:div w:id="1288655759">
      <w:bodyDiv w:val="1"/>
      <w:marLeft w:val="0"/>
      <w:marRight w:val="0"/>
      <w:marTop w:val="0"/>
      <w:marBottom w:val="0"/>
      <w:divBdr>
        <w:top w:val="none" w:sz="0" w:space="0" w:color="auto"/>
        <w:left w:val="none" w:sz="0" w:space="0" w:color="auto"/>
        <w:bottom w:val="none" w:sz="0" w:space="0" w:color="auto"/>
        <w:right w:val="none" w:sz="0" w:space="0" w:color="auto"/>
      </w:divBdr>
    </w:div>
    <w:div w:id="1303192545">
      <w:bodyDiv w:val="1"/>
      <w:marLeft w:val="0"/>
      <w:marRight w:val="0"/>
      <w:marTop w:val="0"/>
      <w:marBottom w:val="0"/>
      <w:divBdr>
        <w:top w:val="none" w:sz="0" w:space="0" w:color="auto"/>
        <w:left w:val="none" w:sz="0" w:space="0" w:color="auto"/>
        <w:bottom w:val="none" w:sz="0" w:space="0" w:color="auto"/>
        <w:right w:val="none" w:sz="0" w:space="0" w:color="auto"/>
      </w:divBdr>
    </w:div>
    <w:div w:id="1476290077">
      <w:bodyDiv w:val="1"/>
      <w:marLeft w:val="0"/>
      <w:marRight w:val="0"/>
      <w:marTop w:val="0"/>
      <w:marBottom w:val="0"/>
      <w:divBdr>
        <w:top w:val="none" w:sz="0" w:space="0" w:color="auto"/>
        <w:left w:val="none" w:sz="0" w:space="0" w:color="auto"/>
        <w:bottom w:val="none" w:sz="0" w:space="0" w:color="auto"/>
        <w:right w:val="none" w:sz="0" w:space="0" w:color="auto"/>
      </w:divBdr>
    </w:div>
    <w:div w:id="1479885169">
      <w:bodyDiv w:val="1"/>
      <w:marLeft w:val="0"/>
      <w:marRight w:val="0"/>
      <w:marTop w:val="0"/>
      <w:marBottom w:val="0"/>
      <w:divBdr>
        <w:top w:val="none" w:sz="0" w:space="0" w:color="auto"/>
        <w:left w:val="none" w:sz="0" w:space="0" w:color="auto"/>
        <w:bottom w:val="none" w:sz="0" w:space="0" w:color="auto"/>
        <w:right w:val="none" w:sz="0" w:space="0" w:color="auto"/>
      </w:divBdr>
    </w:div>
    <w:div w:id="1713113190">
      <w:bodyDiv w:val="1"/>
      <w:marLeft w:val="0"/>
      <w:marRight w:val="0"/>
      <w:marTop w:val="0"/>
      <w:marBottom w:val="0"/>
      <w:divBdr>
        <w:top w:val="none" w:sz="0" w:space="0" w:color="auto"/>
        <w:left w:val="none" w:sz="0" w:space="0" w:color="auto"/>
        <w:bottom w:val="none" w:sz="0" w:space="0" w:color="auto"/>
        <w:right w:val="none" w:sz="0" w:space="0" w:color="auto"/>
      </w:divBdr>
    </w:div>
    <w:div w:id="1713191697">
      <w:bodyDiv w:val="1"/>
      <w:marLeft w:val="0"/>
      <w:marRight w:val="0"/>
      <w:marTop w:val="0"/>
      <w:marBottom w:val="0"/>
      <w:divBdr>
        <w:top w:val="none" w:sz="0" w:space="0" w:color="auto"/>
        <w:left w:val="none" w:sz="0" w:space="0" w:color="auto"/>
        <w:bottom w:val="none" w:sz="0" w:space="0" w:color="auto"/>
        <w:right w:val="none" w:sz="0" w:space="0" w:color="auto"/>
      </w:divBdr>
    </w:div>
    <w:div w:id="1726099943">
      <w:bodyDiv w:val="1"/>
      <w:marLeft w:val="0"/>
      <w:marRight w:val="0"/>
      <w:marTop w:val="0"/>
      <w:marBottom w:val="0"/>
      <w:divBdr>
        <w:top w:val="none" w:sz="0" w:space="0" w:color="auto"/>
        <w:left w:val="none" w:sz="0" w:space="0" w:color="auto"/>
        <w:bottom w:val="none" w:sz="0" w:space="0" w:color="auto"/>
        <w:right w:val="none" w:sz="0" w:space="0" w:color="auto"/>
      </w:divBdr>
    </w:div>
    <w:div w:id="1729068514">
      <w:bodyDiv w:val="1"/>
      <w:marLeft w:val="0"/>
      <w:marRight w:val="0"/>
      <w:marTop w:val="0"/>
      <w:marBottom w:val="0"/>
      <w:divBdr>
        <w:top w:val="none" w:sz="0" w:space="0" w:color="auto"/>
        <w:left w:val="none" w:sz="0" w:space="0" w:color="auto"/>
        <w:bottom w:val="none" w:sz="0" w:space="0" w:color="auto"/>
        <w:right w:val="none" w:sz="0" w:space="0" w:color="auto"/>
      </w:divBdr>
    </w:div>
    <w:div w:id="1738701822">
      <w:bodyDiv w:val="1"/>
      <w:marLeft w:val="0"/>
      <w:marRight w:val="0"/>
      <w:marTop w:val="0"/>
      <w:marBottom w:val="0"/>
      <w:divBdr>
        <w:top w:val="none" w:sz="0" w:space="0" w:color="auto"/>
        <w:left w:val="none" w:sz="0" w:space="0" w:color="auto"/>
        <w:bottom w:val="none" w:sz="0" w:space="0" w:color="auto"/>
        <w:right w:val="none" w:sz="0" w:space="0" w:color="auto"/>
      </w:divBdr>
    </w:div>
    <w:div w:id="1778677394">
      <w:bodyDiv w:val="1"/>
      <w:marLeft w:val="0"/>
      <w:marRight w:val="0"/>
      <w:marTop w:val="0"/>
      <w:marBottom w:val="0"/>
      <w:divBdr>
        <w:top w:val="none" w:sz="0" w:space="0" w:color="auto"/>
        <w:left w:val="none" w:sz="0" w:space="0" w:color="auto"/>
        <w:bottom w:val="none" w:sz="0" w:space="0" w:color="auto"/>
        <w:right w:val="none" w:sz="0" w:space="0" w:color="auto"/>
      </w:divBdr>
      <w:divsChild>
        <w:div w:id="1969238015">
          <w:marLeft w:val="0"/>
          <w:marRight w:val="0"/>
          <w:marTop w:val="0"/>
          <w:marBottom w:val="0"/>
          <w:divBdr>
            <w:top w:val="none" w:sz="0" w:space="0" w:color="auto"/>
            <w:left w:val="none" w:sz="0" w:space="0" w:color="auto"/>
            <w:bottom w:val="none" w:sz="0" w:space="0" w:color="auto"/>
            <w:right w:val="none" w:sz="0" w:space="0" w:color="auto"/>
          </w:divBdr>
        </w:div>
      </w:divsChild>
    </w:div>
    <w:div w:id="1844585072">
      <w:bodyDiv w:val="1"/>
      <w:marLeft w:val="0"/>
      <w:marRight w:val="0"/>
      <w:marTop w:val="0"/>
      <w:marBottom w:val="0"/>
      <w:divBdr>
        <w:top w:val="none" w:sz="0" w:space="0" w:color="auto"/>
        <w:left w:val="none" w:sz="0" w:space="0" w:color="auto"/>
        <w:bottom w:val="none" w:sz="0" w:space="0" w:color="auto"/>
        <w:right w:val="none" w:sz="0" w:space="0" w:color="auto"/>
      </w:divBdr>
    </w:div>
    <w:div w:id="1858615524">
      <w:bodyDiv w:val="1"/>
      <w:marLeft w:val="0"/>
      <w:marRight w:val="0"/>
      <w:marTop w:val="0"/>
      <w:marBottom w:val="0"/>
      <w:divBdr>
        <w:top w:val="none" w:sz="0" w:space="0" w:color="auto"/>
        <w:left w:val="none" w:sz="0" w:space="0" w:color="auto"/>
        <w:bottom w:val="none" w:sz="0" w:space="0" w:color="auto"/>
        <w:right w:val="none" w:sz="0" w:space="0" w:color="auto"/>
      </w:divBdr>
    </w:div>
    <w:div w:id="1898931463">
      <w:bodyDiv w:val="1"/>
      <w:marLeft w:val="0"/>
      <w:marRight w:val="0"/>
      <w:marTop w:val="0"/>
      <w:marBottom w:val="0"/>
      <w:divBdr>
        <w:top w:val="none" w:sz="0" w:space="0" w:color="auto"/>
        <w:left w:val="none" w:sz="0" w:space="0" w:color="auto"/>
        <w:bottom w:val="none" w:sz="0" w:space="0" w:color="auto"/>
        <w:right w:val="none" w:sz="0" w:space="0" w:color="auto"/>
      </w:divBdr>
    </w:div>
    <w:div w:id="2083405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lexisnexis.com/fr/droit/search/runRemoteLink.do?A=0.6053965915815281&amp;bct=A&amp;service=citation&amp;risb=21_T21090302763&amp;langcountry=FR&amp;linkInfo=F%23FR%23fr_code%23title%25Code+de+l%27urbanisme%25article%25L.+122-1%25art%25L.+122-1%25" TargetMode="Externa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ROME\AppData\Roaming\Microsoft\Templates\Mod&#232;le%20Not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941B4-7C9F-441E-A261-B55FBA045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Modèle Note</Template>
  <TotalTime>2</TotalTime>
  <Pages>14</Pages>
  <Words>5964</Words>
  <Characters>32802</Characters>
  <Application>Microsoft Office Word</Application>
  <DocSecurity>0</DocSecurity>
  <Lines>273</Lines>
  <Paragraphs>77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Delphine</dc:creator>
  <cp:lastModifiedBy>Sandrine</cp:lastModifiedBy>
  <cp:revision>4</cp:revision>
  <cp:lastPrinted>2015-01-23T14:06:00Z</cp:lastPrinted>
  <dcterms:created xsi:type="dcterms:W3CDTF">2015-01-28T15:41:00Z</dcterms:created>
  <dcterms:modified xsi:type="dcterms:W3CDTF">2015-01-28T15:42:00Z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